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488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Наслежный Совет депутатов муниципального образования «Наторинский наслег» Ленского района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Республики Саха (Якутия)»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>
      <w:pPr>
        <w:pStyle w:val="P1"/>
        <w:jc w:val="center"/>
        <w:rPr>
          <w:b w:val="1"/>
          <w:sz w:val="28"/>
        </w:rPr>
      </w:pPr>
    </w:p>
    <w:p>
      <w:pPr>
        <w:spacing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 20.05.2022 № 1/3</w:t>
      </w:r>
    </w:p>
    <w:p>
      <w:pPr>
        <w:pStyle w:val="P1"/>
        <w:jc w:val="center"/>
        <w:rPr>
          <w:b w:val="1"/>
          <w:sz w:val="28"/>
        </w:rPr>
      </w:pP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И ДОПОЛНЕНИЙ В УСТАВ </w:t>
      </w: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</w:t>
      </w: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>«НАТОРИНСКИЙ НАСЛЕГ»</w:t>
      </w: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>ЛЕНСКОГО РАЙОНА РЕСПУБЛИКИ САХА (ЯКУТИЯ)</w:t>
      </w:r>
    </w:p>
    <w:p>
      <w:pPr>
        <w:pStyle w:val="P1"/>
        <w:jc w:val="center"/>
        <w:rPr>
          <w:b w:val="1"/>
          <w:sz w:val="28"/>
        </w:rPr>
      </w:pPr>
      <w:r>
        <w:rPr>
          <w:b w:val="1"/>
          <w:sz w:val="28"/>
        </w:rPr>
        <w:t xml:space="preserve">    </w:t>
      </w:r>
    </w:p>
    <w:p>
      <w:pPr>
        <w:pStyle w:val="P1"/>
        <w:jc w:val="center"/>
        <w:rPr>
          <w:b w:val="1"/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jc w:val="center"/>
        <w:rPr>
          <w:sz w:val="28"/>
        </w:rPr>
      </w:pPr>
      <w:r>
        <w:rPr>
          <w:sz w:val="28"/>
        </w:rPr>
        <w:t>2022 год</w:t>
      </w:r>
    </w:p>
    <w:p>
      <w:pPr>
        <w:tabs>
          <w:tab w:val="left" w:pos="9498" w:leader="none"/>
        </w:tabs>
        <w:spacing w:lineRule="auto" w:line="24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</w:p>
    <w:p>
      <w:pPr>
        <w:tabs>
          <w:tab w:val="left" w:pos="9498" w:leader="none"/>
        </w:tabs>
        <w:spacing w:lineRule="auto" w:line="24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</w:p>
    <w:p>
      <w:pPr>
        <w:tabs>
          <w:tab w:val="left" w:pos="9498" w:leader="none"/>
        </w:tabs>
        <w:spacing w:lineRule="auto" w:line="24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</w:p>
    <w:p>
      <w:pPr>
        <w:tabs>
          <w:tab w:val="left" w:pos="9498" w:leader="none"/>
        </w:tabs>
        <w:spacing w:lineRule="auto" w:line="24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</w:p>
    <w:p>
      <w:pPr>
        <w:tabs>
          <w:tab w:val="left" w:pos="9498" w:leader="none"/>
        </w:tabs>
        <w:spacing w:lineRule="auto" w:line="24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Настоящий муниципальный правовой акт разработан в целях приведения положений устава муниципального образования в соответствие </w:t>
        <w:br w:type="textWrapping"/>
        <w:t xml:space="preserve">с Федеральным законом от 11.06.2021 № 170-ФЗ «О внесении изменений </w:t>
        <w:br w:type="textWrapping"/>
        <w:t xml:space="preserve">в отдельные законодательные акты Российской Федерации в связи </w:t>
        <w:br w:type="textWrapping"/>
        <w:t xml:space="preserve">с принятием Федерального закона «О государственном контроле (надзоре) </w:t>
        <w:br w:type="textWrapping"/>
        <w:t>и муниципальном контроле в Российской Федерации», с учетом рекомендаций Управления Министерства юстиции Российской Федерации по Республике Саха (Якутия).</w:t>
      </w:r>
    </w:p>
    <w:p>
      <w:pPr>
        <w:tabs>
          <w:tab w:val="left" w:pos="9498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tabs>
          <w:tab w:val="left" w:pos="9498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>
      <w:pPr>
        <w:tabs>
          <w:tab w:val="left" w:pos="9498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следующие изменения в устав муниципального образования:</w:t>
      </w:r>
    </w:p>
    <w:p>
      <w:pPr>
        <w:tabs>
          <w:tab w:val="left" w:pos="9498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Часть 2 статью 7.1 «Муниципальный контроль» изложить </w:t>
        <w:br w:type="textWrapping"/>
        <w:t>в следующей редакции:</w:t>
      </w:r>
    </w:p>
    <w:p>
      <w:pPr>
        <w:tabs>
          <w:tab w:val="left" w:pos="9498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Организация и осуществление видов муниципального контроля регулируются Федеральным законом от 31 июля 2020 года № 248-ФЗ </w:t>
        <w:br w:type="textWrapping"/>
        <w:t xml:space="preserve">«О государственном контроле (надзоре) и муниципальном контроле </w:t>
        <w:br w:type="textWrapping"/>
        <w:t>в Российской Федерации».».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 97-ФЗ «О государственной регистрации уставов муниципальных образований».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3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Председатель наслежного Совета                                        Э.С. Тимофеев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bookmarkStart w:id="0" w:name="_GoBack"/>
      <w:bookmarkEnd w:id="0"/>
    </w:p>
    <w:sectPr>
      <w:footerReference xmlns:r="http://schemas.openxmlformats.org/officeDocument/2006/relationships" w:type="even" r:id="RelFtr1"/>
      <w:type w:val="nextPage"/>
      <w:pgSz w:w="11906" w:h="16838" w:code="9"/>
      <w:pgMar w:left="1560" w:right="1133" w:top="1134" w:bottom="1560" w:header="709" w:footer="709" w:gutter="0"/>
      <w:pgNumType w:start="1" w:chapSep="period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t>2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pPr>
      <w:spacing w:lineRule="auto" w:line="240" w:after="0" w:beforeAutospacing="0" w:afterAutospacing="0"/>
      <w:jc w:val="both"/>
    </w:pPr>
    <w:rPr>
      <w:rFonts w:ascii="Times New Roman" w:hAnsi="Times New Roman"/>
      <w:sz w:val="20"/>
    </w:rPr>
  </w:style>
  <w:style w:type="paragraph" w:styleId="P2">
    <w:name w:val="Body Text Indent"/>
    <w:basedOn w:val="P0"/>
    <w:link w:val="C4"/>
    <w:pPr>
      <w:spacing w:lineRule="auto" w:line="240" w:after="0" w:beforeAutospacing="0" w:afterAutospacing="0"/>
      <w:ind w:firstLine="720"/>
      <w:jc w:val="both"/>
    </w:pPr>
    <w:rPr>
      <w:rFonts w:ascii="Times New Roman" w:hAnsi="Times New Roman"/>
      <w:sz w:val="28"/>
    </w:rPr>
  </w:style>
  <w:style w:type="paragraph" w:styleId="P3">
    <w:name w:val="head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6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0"/>
    </w:rPr>
  </w:style>
  <w:style w:type="character" w:styleId="C4">
    <w:name w:val="Основной текст с отступом Знак"/>
    <w:basedOn w:val="C0"/>
    <w:link w:val="P2"/>
    <w:rPr>
      <w:rFonts w:ascii="Times New Roman" w:hAnsi="Times New Roman"/>
      <w:sz w:val="28"/>
    </w:rPr>
  </w:style>
  <w:style w:type="character" w:styleId="C5">
    <w:name w:val="Верхний колонтитул Знак"/>
    <w:basedOn w:val="C0"/>
    <w:link w:val="P3"/>
    <w:rPr/>
  </w:style>
  <w:style w:type="character" w:styleId="C6">
    <w:name w:val="Нижний колонтитул Знак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