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F70AB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F70AB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CF4E5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F4E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CF4E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58686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CF4E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01-03-743/4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8E3EBE" w:rsidRDefault="00C7661B" w:rsidP="00C7661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D067A">
              <w:rPr>
                <w:b/>
                <w:sz w:val="28"/>
                <w:szCs w:val="28"/>
              </w:rPr>
              <w:t>О внесении изменений в постановление главы муниципал</w:t>
            </w:r>
            <w:r w:rsidR="00BD5BA3">
              <w:rPr>
                <w:b/>
                <w:sz w:val="28"/>
                <w:szCs w:val="28"/>
              </w:rPr>
              <w:t xml:space="preserve">ьного образования  </w:t>
            </w:r>
            <w:r w:rsidR="00BD5BA3" w:rsidRPr="002C49D9">
              <w:rPr>
                <w:b/>
                <w:sz w:val="28"/>
                <w:szCs w:val="28"/>
              </w:rPr>
              <w:t>«</w:t>
            </w:r>
            <w:r w:rsidRPr="006D067A">
              <w:rPr>
                <w:b/>
                <w:sz w:val="28"/>
                <w:szCs w:val="28"/>
              </w:rPr>
              <w:t>Ленский район</w:t>
            </w:r>
            <w:r w:rsidR="00BD5BA3">
              <w:rPr>
                <w:b/>
                <w:sz w:val="28"/>
                <w:szCs w:val="28"/>
              </w:rPr>
              <w:t>»</w:t>
            </w:r>
            <w:r w:rsidRPr="006D067A">
              <w:rPr>
                <w:b/>
                <w:sz w:val="28"/>
                <w:szCs w:val="28"/>
              </w:rPr>
              <w:t xml:space="preserve"> от</w:t>
            </w:r>
            <w:r w:rsidR="00586869" w:rsidRPr="006D067A">
              <w:rPr>
                <w:b/>
                <w:sz w:val="28"/>
                <w:szCs w:val="28"/>
              </w:rPr>
              <w:t xml:space="preserve"> </w:t>
            </w:r>
            <w:r w:rsidR="006D067A" w:rsidRPr="006D067A">
              <w:rPr>
                <w:b/>
                <w:sz w:val="28"/>
                <w:szCs w:val="28"/>
              </w:rPr>
              <w:t>22 декабря 2020 года №01-03-689/0</w:t>
            </w:r>
          </w:p>
          <w:p w:rsidR="00F93C6C" w:rsidRDefault="00F93C6C" w:rsidP="00C7661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F93C6C" w:rsidRPr="006D067A" w:rsidRDefault="00F93C6C" w:rsidP="00C7661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3C6C" w:rsidRDefault="00F93C6C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93C6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основании п</w:t>
      </w:r>
      <w:r w:rsidRPr="006206CD">
        <w:rPr>
          <w:spacing w:val="1"/>
          <w:sz w:val="28"/>
          <w:szCs w:val="28"/>
        </w:rPr>
        <w:t>остановлени</w:t>
      </w:r>
      <w:r>
        <w:rPr>
          <w:spacing w:val="1"/>
          <w:sz w:val="28"/>
          <w:szCs w:val="28"/>
        </w:rPr>
        <w:t>я</w:t>
      </w:r>
      <w:r w:rsidRPr="006206CD">
        <w:rPr>
          <w:spacing w:val="1"/>
          <w:sz w:val="28"/>
          <w:szCs w:val="28"/>
        </w:rPr>
        <w:t xml:space="preserve"> главы муниципального образования «Ленский район» от 13 ноября 2023 года № 01-03-669/3 «Об утверждении сети и штатов учреждений культуры Ленского района на 2024 год»</w:t>
      </w:r>
      <w:r>
        <w:rPr>
          <w:spacing w:val="1"/>
          <w:sz w:val="28"/>
          <w:szCs w:val="28"/>
        </w:rPr>
        <w:t xml:space="preserve">, в связи с </w:t>
      </w:r>
      <w:r w:rsidR="00BD5BA3">
        <w:rPr>
          <w:spacing w:val="1"/>
          <w:sz w:val="28"/>
          <w:szCs w:val="28"/>
        </w:rPr>
        <w:t xml:space="preserve">введением в штат должности </w:t>
      </w:r>
      <w:r w:rsidR="00BD5BA3" w:rsidRPr="002C49D9">
        <w:rPr>
          <w:b/>
          <w:sz w:val="28"/>
          <w:szCs w:val="28"/>
        </w:rPr>
        <w:t>«</w:t>
      </w:r>
      <w:r w:rsidR="0037516D">
        <w:rPr>
          <w:spacing w:val="1"/>
          <w:sz w:val="28"/>
          <w:szCs w:val="28"/>
        </w:rPr>
        <w:t>экономиста (по закупкам)</w:t>
      </w:r>
      <w:r w:rsidR="00BD5BA3">
        <w:rPr>
          <w:b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, </w:t>
      </w:r>
      <w:r w:rsidRPr="006206CD">
        <w:rPr>
          <w:sz w:val="28"/>
          <w:szCs w:val="28"/>
        </w:rPr>
        <w:t xml:space="preserve">п о с </w:t>
      </w:r>
      <w:proofErr w:type="gramStart"/>
      <w:r w:rsidRPr="006206CD">
        <w:rPr>
          <w:sz w:val="28"/>
          <w:szCs w:val="28"/>
        </w:rPr>
        <w:t>т</w:t>
      </w:r>
      <w:proofErr w:type="gramEnd"/>
      <w:r w:rsidRPr="006206CD">
        <w:rPr>
          <w:sz w:val="28"/>
          <w:szCs w:val="28"/>
        </w:rPr>
        <w:t xml:space="preserve"> а н о в л я ю:</w:t>
      </w:r>
    </w:p>
    <w:p w:rsidR="00F93C6C" w:rsidRDefault="00F93C6C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гл</w:t>
      </w:r>
      <w:r w:rsidR="00963675">
        <w:rPr>
          <w:sz w:val="28"/>
          <w:szCs w:val="28"/>
        </w:rPr>
        <w:t xml:space="preserve">авы муниципального образования </w:t>
      </w:r>
      <w:r w:rsidR="00963675" w:rsidRPr="002C49D9">
        <w:rPr>
          <w:b/>
          <w:sz w:val="28"/>
          <w:szCs w:val="28"/>
        </w:rPr>
        <w:t>«</w:t>
      </w:r>
      <w:r w:rsidR="00963675">
        <w:rPr>
          <w:sz w:val="28"/>
          <w:szCs w:val="28"/>
        </w:rPr>
        <w:t xml:space="preserve"> Ленский район</w:t>
      </w:r>
      <w:r w:rsidR="00963675" w:rsidRPr="006206CD"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 xml:space="preserve"> от 22 декабря 2020 года №01-03-689/0 </w:t>
      </w:r>
      <w:r w:rsidR="00BD5BA3">
        <w:rPr>
          <w:sz w:val="28"/>
          <w:szCs w:val="28"/>
        </w:rPr>
        <w:t xml:space="preserve"> </w:t>
      </w:r>
      <w:r w:rsidR="00BD5BA3" w:rsidRPr="002C49D9">
        <w:rPr>
          <w:b/>
          <w:sz w:val="28"/>
          <w:szCs w:val="28"/>
        </w:rPr>
        <w:t>«</w:t>
      </w:r>
      <w:r w:rsidR="004901BF">
        <w:rPr>
          <w:sz w:val="28"/>
          <w:szCs w:val="28"/>
        </w:rPr>
        <w:t xml:space="preserve">Об утверждении Положения </w:t>
      </w:r>
      <w:r w:rsidR="00BD5BA3">
        <w:rPr>
          <w:sz w:val="28"/>
          <w:szCs w:val="28"/>
        </w:rPr>
        <w:t xml:space="preserve">о премировании работников МКУК </w:t>
      </w:r>
      <w:r w:rsidR="00BD5BA3" w:rsidRPr="002C49D9">
        <w:rPr>
          <w:b/>
          <w:sz w:val="28"/>
          <w:szCs w:val="28"/>
        </w:rPr>
        <w:t>«</w:t>
      </w:r>
      <w:r w:rsidR="00BD5BA3" w:rsidRPr="00BD5BA3">
        <w:rPr>
          <w:sz w:val="28"/>
          <w:szCs w:val="28"/>
        </w:rPr>
        <w:t>Л</w:t>
      </w:r>
      <w:r w:rsidR="004901BF" w:rsidRPr="00BD5BA3">
        <w:rPr>
          <w:sz w:val="28"/>
          <w:szCs w:val="28"/>
        </w:rPr>
        <w:t>енск</w:t>
      </w:r>
      <w:r w:rsidR="00BD5BA3" w:rsidRPr="00BD5BA3">
        <w:rPr>
          <w:sz w:val="28"/>
          <w:szCs w:val="28"/>
        </w:rPr>
        <w:t>ий</w:t>
      </w:r>
      <w:r w:rsidR="00BD5BA3">
        <w:rPr>
          <w:sz w:val="28"/>
          <w:szCs w:val="28"/>
        </w:rPr>
        <w:t xml:space="preserve"> историко-краеведческий музей</w:t>
      </w:r>
      <w:r w:rsidR="00BD5BA3">
        <w:rPr>
          <w:b/>
          <w:sz w:val="28"/>
          <w:szCs w:val="28"/>
        </w:rPr>
        <w:t>»</w:t>
      </w:r>
      <w:r w:rsidR="004901BF">
        <w:rPr>
          <w:sz w:val="28"/>
          <w:szCs w:val="28"/>
        </w:rPr>
        <w:t>:</w:t>
      </w:r>
    </w:p>
    <w:p w:rsidR="00AC6E39" w:rsidRDefault="00AC6E39" w:rsidP="00AC6E39">
      <w:pPr>
        <w:pStyle w:val="ConsPlusTitle"/>
        <w:numPr>
          <w:ilvl w:val="1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9D9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BD5BA3">
        <w:rPr>
          <w:rFonts w:ascii="Times New Roman" w:hAnsi="Times New Roman" w:cs="Times New Roman"/>
          <w:b w:val="0"/>
          <w:sz w:val="28"/>
          <w:szCs w:val="28"/>
        </w:rPr>
        <w:t>Положению о премировании МКУК</w:t>
      </w:r>
      <w:r w:rsidR="006374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5BA3">
        <w:rPr>
          <w:rFonts w:ascii="Times New Roman" w:hAnsi="Times New Roman" w:cs="Times New Roman"/>
          <w:b w:val="0"/>
          <w:sz w:val="28"/>
          <w:szCs w:val="28"/>
        </w:rPr>
        <w:t>Ленский историко-краеведческий музей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2C49D9">
        <w:rPr>
          <w:rFonts w:ascii="Times New Roman" w:hAnsi="Times New Roman" w:cs="Times New Roman"/>
          <w:b w:val="0"/>
          <w:sz w:val="28"/>
          <w:szCs w:val="28"/>
        </w:rPr>
        <w:t xml:space="preserve">«Показатели и критерии оценки эффективности деятельности </w:t>
      </w:r>
      <w:r w:rsidR="00212FF4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 w:rsidRPr="002C49D9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12FF4">
        <w:rPr>
          <w:rFonts w:ascii="Times New Roman" w:hAnsi="Times New Roman" w:cs="Times New Roman"/>
          <w:b w:val="0"/>
          <w:sz w:val="28"/>
          <w:szCs w:val="28"/>
        </w:rPr>
        <w:t xml:space="preserve">ого казенного учреждения «Ленский историко-краеведческий </w:t>
      </w:r>
      <w:r w:rsidR="00212FF4">
        <w:rPr>
          <w:rFonts w:ascii="Times New Roman" w:hAnsi="Times New Roman" w:cs="Times New Roman"/>
          <w:b w:val="0"/>
          <w:sz w:val="28"/>
          <w:szCs w:val="28"/>
        </w:rPr>
        <w:lastRenderedPageBreak/>
        <w:t>музей</w:t>
      </w:r>
      <w:r w:rsidRPr="002C49D9">
        <w:rPr>
          <w:rFonts w:ascii="Times New Roman" w:hAnsi="Times New Roman" w:cs="Times New Roman"/>
          <w:b w:val="0"/>
          <w:sz w:val="28"/>
          <w:szCs w:val="28"/>
        </w:rPr>
        <w:t>»</w:t>
      </w:r>
      <w:r w:rsidR="00DB3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B341C">
        <w:rPr>
          <w:rFonts w:ascii="Times New Roman" w:hAnsi="Times New Roman" w:cs="Times New Roman"/>
          <w:b w:val="0"/>
          <w:sz w:val="28"/>
          <w:szCs w:val="28"/>
        </w:rPr>
        <w:t xml:space="preserve">г.Ленск </w:t>
      </w:r>
      <w:r w:rsidRPr="002C49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2C49D9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«Ленский район» Республики Саха (Якутия)</w:t>
      </w:r>
      <w:r w:rsidRPr="002C49D9">
        <w:rPr>
          <w:rFonts w:ascii="Times New Roman" w:hAnsi="Times New Roman" w:cs="Times New Roman"/>
          <w:sz w:val="28"/>
          <w:szCs w:val="28"/>
        </w:rPr>
        <w:t xml:space="preserve"> </w:t>
      </w:r>
      <w:r w:rsidRPr="00712646">
        <w:rPr>
          <w:rFonts w:ascii="Times New Roman" w:hAnsi="Times New Roman" w:cs="Times New Roman"/>
          <w:b w:val="0"/>
          <w:sz w:val="28"/>
          <w:szCs w:val="28"/>
        </w:rPr>
        <w:t>дополнить должностью «экономист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 закупкам)</w:t>
      </w:r>
      <w:r w:rsidRPr="00712646">
        <w:rPr>
          <w:rFonts w:ascii="Times New Roman" w:hAnsi="Times New Roman" w:cs="Times New Roman"/>
          <w:b w:val="0"/>
          <w:sz w:val="28"/>
          <w:szCs w:val="28"/>
        </w:rPr>
        <w:t>», согласно приложению к настоящему постановлению.</w:t>
      </w:r>
    </w:p>
    <w:p w:rsidR="00837014" w:rsidRDefault="00837014" w:rsidP="00837014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</w:t>
      </w:r>
      <w:r w:rsidRPr="003A459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3A459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 w:rsidRPr="003A459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3A459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3A459A">
        <w:rPr>
          <w:sz w:val="28"/>
          <w:szCs w:val="28"/>
        </w:rPr>
        <w:t>.) опубликовать настоящее постановление в средствах массовой информации и разместить на официальном сайте администрации муниципального</w:t>
      </w:r>
      <w:r>
        <w:rPr>
          <w:sz w:val="28"/>
          <w:szCs w:val="28"/>
        </w:rPr>
        <w:t xml:space="preserve"> района</w:t>
      </w:r>
      <w:r w:rsidR="00084BD9">
        <w:rPr>
          <w:sz w:val="28"/>
          <w:szCs w:val="28"/>
        </w:rPr>
        <w:t xml:space="preserve"> «Ленский район» Республики Саха (Якутия).</w:t>
      </w:r>
    </w:p>
    <w:p w:rsidR="00C03083" w:rsidRPr="00D05E0D" w:rsidRDefault="00C03083" w:rsidP="00C0308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right="-82" w:firstLine="709"/>
        <w:jc w:val="both"/>
        <w:rPr>
          <w:sz w:val="28"/>
          <w:szCs w:val="28"/>
        </w:rPr>
      </w:pPr>
      <w:r w:rsidRPr="003A459A">
        <w:rPr>
          <w:sz w:val="28"/>
          <w:szCs w:val="28"/>
        </w:rPr>
        <w:t>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</w:t>
      </w:r>
      <w:r w:rsidRPr="00D05E0D">
        <w:rPr>
          <w:sz w:val="28"/>
          <w:szCs w:val="28"/>
        </w:rPr>
        <w:t>и распространяется на правоотношения, возникшие с 9 января 2024 года.</w:t>
      </w:r>
    </w:p>
    <w:p w:rsidR="008B3E56" w:rsidRPr="003A459A" w:rsidRDefault="008B3E56" w:rsidP="008B3E5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459A">
        <w:rPr>
          <w:sz w:val="28"/>
          <w:szCs w:val="28"/>
        </w:rPr>
        <w:t xml:space="preserve">Контроль </w:t>
      </w:r>
      <w:r w:rsidR="00834D07">
        <w:rPr>
          <w:sz w:val="28"/>
          <w:szCs w:val="28"/>
        </w:rPr>
        <w:t xml:space="preserve">за исполнением </w:t>
      </w:r>
      <w:r w:rsidRPr="003A459A">
        <w:rPr>
          <w:sz w:val="28"/>
          <w:szCs w:val="28"/>
        </w:rPr>
        <w:t xml:space="preserve">настоящего постановления возложить на заместителя главы по социальным вопросам </w:t>
      </w:r>
      <w:r>
        <w:rPr>
          <w:sz w:val="28"/>
          <w:szCs w:val="28"/>
        </w:rPr>
        <w:t>Барбашову А.С.</w:t>
      </w:r>
    </w:p>
    <w:p w:rsidR="00C03083" w:rsidRPr="003A459A" w:rsidRDefault="00C03083" w:rsidP="008B3E56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F70AB5" w:rsidRDefault="00F70AB5" w:rsidP="00F70AB5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:rsidR="00AC6E39" w:rsidRDefault="00C01017" w:rsidP="00F70A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главы                                                                           С.В. Спиридонов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834D07" w:rsidRDefault="00834D07" w:rsidP="008E3EBE"/>
    <w:p w:rsidR="00834D07" w:rsidRDefault="00834D07" w:rsidP="008E3EBE"/>
    <w:p w:rsidR="00981906" w:rsidRDefault="00981906" w:rsidP="008E3EBE"/>
    <w:p w:rsidR="00981906" w:rsidRDefault="00981906" w:rsidP="008E3EBE"/>
    <w:p w:rsidR="00981906" w:rsidRDefault="00981906" w:rsidP="008E3EBE"/>
    <w:p w:rsidR="00981906" w:rsidRPr="003A459A" w:rsidRDefault="00981906" w:rsidP="00F70AB5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Приложение </w:t>
      </w:r>
    </w:p>
    <w:p w:rsidR="00981906" w:rsidRPr="003A459A" w:rsidRDefault="00981906" w:rsidP="00F70AB5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>к постановлению</w:t>
      </w:r>
      <w:r w:rsidR="006B56AC">
        <w:rPr>
          <w:rFonts w:eastAsia="Calibri"/>
          <w:sz w:val="24"/>
          <w:szCs w:val="24"/>
        </w:rPr>
        <w:t xml:space="preserve"> и.о.</w:t>
      </w:r>
      <w:r w:rsidRPr="003A459A">
        <w:rPr>
          <w:rFonts w:eastAsia="Calibri"/>
          <w:sz w:val="24"/>
          <w:szCs w:val="24"/>
        </w:rPr>
        <w:t xml:space="preserve"> главы </w:t>
      </w:r>
    </w:p>
    <w:p w:rsidR="00981906" w:rsidRPr="003A459A" w:rsidRDefault="00F70AB5" w:rsidP="00F70AB5">
      <w:pPr>
        <w:ind w:firstLine="652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lastRenderedPageBreak/>
        <w:t>т «_</w:t>
      </w:r>
      <w:r w:rsidR="00CF4E5B">
        <w:rPr>
          <w:rFonts w:eastAsia="Calibri"/>
          <w:sz w:val="24"/>
          <w:szCs w:val="24"/>
          <w:u w:val="single"/>
        </w:rPr>
        <w:t>24</w:t>
      </w:r>
      <w:r w:rsidR="00981906" w:rsidRPr="003A459A">
        <w:rPr>
          <w:rFonts w:eastAsia="Calibri"/>
          <w:sz w:val="24"/>
          <w:szCs w:val="24"/>
        </w:rPr>
        <w:t>_» _</w:t>
      </w:r>
      <w:r w:rsidR="00CF4E5B">
        <w:rPr>
          <w:rFonts w:eastAsia="Calibri"/>
          <w:sz w:val="24"/>
          <w:szCs w:val="24"/>
          <w:u w:val="single"/>
        </w:rPr>
        <w:t>октября</w:t>
      </w:r>
      <w:r w:rsidR="00981906" w:rsidRPr="003A459A">
        <w:rPr>
          <w:rFonts w:eastAsia="Calibri"/>
          <w:sz w:val="24"/>
          <w:szCs w:val="24"/>
        </w:rPr>
        <w:t>__ 202</w:t>
      </w:r>
      <w:r w:rsidR="00981906">
        <w:rPr>
          <w:rFonts w:eastAsia="Calibri"/>
          <w:sz w:val="24"/>
          <w:szCs w:val="24"/>
        </w:rPr>
        <w:t>4</w:t>
      </w:r>
      <w:r w:rsidR="00981906" w:rsidRPr="003A459A">
        <w:rPr>
          <w:rFonts w:eastAsia="Calibri"/>
          <w:sz w:val="24"/>
          <w:szCs w:val="24"/>
        </w:rPr>
        <w:t>г.</w:t>
      </w:r>
    </w:p>
    <w:p w:rsidR="00981906" w:rsidRPr="003A459A" w:rsidRDefault="00981906" w:rsidP="00F70AB5">
      <w:pPr>
        <w:ind w:firstLine="6521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>№___</w:t>
      </w:r>
      <w:r w:rsidR="00CF4E5B">
        <w:rPr>
          <w:rFonts w:eastAsia="Calibri"/>
          <w:sz w:val="24"/>
          <w:szCs w:val="24"/>
          <w:u w:val="single"/>
        </w:rPr>
        <w:t>01-03-743/4</w:t>
      </w:r>
      <w:bookmarkStart w:id="0" w:name="_GoBack"/>
      <w:bookmarkEnd w:id="0"/>
      <w:r w:rsidR="00F70AB5">
        <w:rPr>
          <w:rFonts w:eastAsia="Calibri"/>
          <w:sz w:val="24"/>
          <w:szCs w:val="24"/>
        </w:rPr>
        <w:t>___</w:t>
      </w:r>
      <w:r w:rsidRPr="003A459A">
        <w:rPr>
          <w:rFonts w:eastAsia="Calibri"/>
          <w:sz w:val="24"/>
          <w:szCs w:val="24"/>
        </w:rPr>
        <w:t>_____</w:t>
      </w:r>
    </w:p>
    <w:p w:rsidR="00981906" w:rsidRPr="003A459A" w:rsidRDefault="00981906" w:rsidP="00981906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  <w:t xml:space="preserve">                                  </w:t>
      </w:r>
    </w:p>
    <w:p w:rsidR="00981906" w:rsidRPr="003A459A" w:rsidRDefault="00981906" w:rsidP="00981906">
      <w:pPr>
        <w:pStyle w:val="a7"/>
        <w:spacing w:after="0" w:line="240" w:lineRule="auto"/>
      </w:pPr>
      <w:r w:rsidRPr="003A459A">
        <w:t xml:space="preserve">           </w:t>
      </w:r>
    </w:p>
    <w:p w:rsidR="00981906" w:rsidRPr="003A459A" w:rsidRDefault="00981906" w:rsidP="00981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59A">
        <w:rPr>
          <w:rFonts w:ascii="Times New Roman" w:hAnsi="Times New Roman" w:cs="Times New Roman"/>
          <w:sz w:val="24"/>
          <w:szCs w:val="24"/>
        </w:rPr>
        <w:t xml:space="preserve">ПОКАЗАТЕЛИ И КРИТЕРИИ ОЦЕНКИ ЭФФЕКТИВНОСТИ ДЕЯТЕЛЬНОСТИ </w:t>
      </w:r>
      <w:r w:rsidR="00E3638A">
        <w:rPr>
          <w:rFonts w:ascii="Times New Roman" w:hAnsi="Times New Roman" w:cs="Times New Roman"/>
          <w:sz w:val="24"/>
          <w:szCs w:val="24"/>
        </w:rPr>
        <w:t>СОТРУДНИКОВ</w:t>
      </w:r>
      <w:r w:rsidRPr="003A459A">
        <w:rPr>
          <w:b w:val="0"/>
        </w:rPr>
        <w:t xml:space="preserve"> </w:t>
      </w:r>
      <w:r w:rsidRPr="003A459A">
        <w:rPr>
          <w:rFonts w:ascii="Times New Roman" w:hAnsi="Times New Roman" w:cs="Times New Roman"/>
          <w:sz w:val="24"/>
          <w:szCs w:val="24"/>
        </w:rPr>
        <w:t>МУНИЦИПАЛЬНОГО КАЗЕННОГО УЧРЕЖДЕНИЯ «</w:t>
      </w:r>
      <w:r w:rsidR="00E3638A">
        <w:rPr>
          <w:rFonts w:ascii="Times New Roman" w:hAnsi="Times New Roman" w:cs="Times New Roman"/>
          <w:sz w:val="24"/>
          <w:szCs w:val="24"/>
        </w:rPr>
        <w:t>ЛЕНСКИЙ</w:t>
      </w:r>
      <w:r w:rsidRPr="003A459A">
        <w:rPr>
          <w:rFonts w:ascii="Times New Roman" w:hAnsi="Times New Roman" w:cs="Times New Roman"/>
          <w:sz w:val="24"/>
          <w:szCs w:val="24"/>
        </w:rPr>
        <w:t xml:space="preserve"> </w:t>
      </w:r>
      <w:r w:rsidR="00E3638A">
        <w:rPr>
          <w:rFonts w:ascii="Times New Roman" w:hAnsi="Times New Roman" w:cs="Times New Roman"/>
          <w:sz w:val="24"/>
          <w:szCs w:val="24"/>
        </w:rPr>
        <w:t>ИСТОРИКО-КРАЕВЕДЧЕСКИЙ МУЗЕЙ</w:t>
      </w:r>
      <w:r w:rsidRPr="003A459A">
        <w:rPr>
          <w:rFonts w:ascii="Times New Roman" w:hAnsi="Times New Roman" w:cs="Times New Roman"/>
          <w:sz w:val="24"/>
          <w:szCs w:val="24"/>
        </w:rPr>
        <w:t>»</w:t>
      </w:r>
      <w:r w:rsidR="0033241D">
        <w:rPr>
          <w:rFonts w:ascii="Times New Roman" w:hAnsi="Times New Roman" w:cs="Times New Roman"/>
          <w:sz w:val="24"/>
          <w:szCs w:val="24"/>
        </w:rPr>
        <w:t xml:space="preserve"> Г. ЛЕНСК</w:t>
      </w:r>
      <w:r w:rsidRPr="003A45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«ЛЕНСКИЙ РАЙОН» РЕСПУБЛИКИ САХА (ЯКУТИЯ)</w:t>
      </w:r>
    </w:p>
    <w:p w:rsidR="00981906" w:rsidRDefault="00981906" w:rsidP="0098190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81906" w:rsidRPr="003A459A" w:rsidRDefault="00981906" w:rsidP="00981906">
      <w:pPr>
        <w:jc w:val="center"/>
        <w:rPr>
          <w:b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300"/>
        <w:gridCol w:w="2091"/>
      </w:tblGrid>
      <w:tr w:rsidR="00BF5D7B" w:rsidRPr="003A459A" w:rsidTr="00B11F47">
        <w:tc>
          <w:tcPr>
            <w:tcW w:w="2463" w:type="dxa"/>
          </w:tcPr>
          <w:p w:rsidR="00BF5D7B" w:rsidRDefault="00BF5D7B" w:rsidP="00B11F47">
            <w:pPr>
              <w:jc w:val="center"/>
              <w:rPr>
                <w:b/>
              </w:rPr>
            </w:pPr>
          </w:p>
          <w:p w:rsidR="00BF5D7B" w:rsidRPr="00551DB6" w:rsidRDefault="00BF5D7B" w:rsidP="00B11F47">
            <w:pPr>
              <w:jc w:val="center"/>
              <w:rPr>
                <w:b/>
              </w:rPr>
            </w:pPr>
            <w:r w:rsidRPr="00551DB6">
              <w:rPr>
                <w:b/>
              </w:rPr>
              <w:t>Должность</w:t>
            </w:r>
          </w:p>
        </w:tc>
        <w:tc>
          <w:tcPr>
            <w:tcW w:w="5300" w:type="dxa"/>
            <w:vAlign w:val="center"/>
          </w:tcPr>
          <w:p w:rsidR="00BF5D7B" w:rsidRPr="00551DB6" w:rsidRDefault="00BF5D7B" w:rsidP="00B11F47">
            <w:pPr>
              <w:contextualSpacing/>
              <w:jc w:val="center"/>
            </w:pPr>
            <w:r w:rsidRPr="00551DB6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2091" w:type="dxa"/>
            <w:vAlign w:val="center"/>
          </w:tcPr>
          <w:p w:rsidR="00BF5D7B" w:rsidRDefault="00BF5D7B" w:rsidP="00B11F47">
            <w:pPr>
              <w:spacing w:line="276" w:lineRule="auto"/>
              <w:jc w:val="center"/>
              <w:rPr>
                <w:b/>
              </w:rPr>
            </w:pPr>
          </w:p>
          <w:p w:rsidR="00BF5D7B" w:rsidRPr="00551DB6" w:rsidRDefault="00BF5D7B" w:rsidP="00B11F47">
            <w:pPr>
              <w:spacing w:line="276" w:lineRule="auto"/>
              <w:jc w:val="center"/>
              <w:rPr>
                <w:b/>
              </w:rPr>
            </w:pPr>
            <w:r w:rsidRPr="00551DB6">
              <w:rPr>
                <w:b/>
              </w:rPr>
              <w:t>Размер премии, балл</w:t>
            </w:r>
          </w:p>
          <w:p w:rsidR="00BF5D7B" w:rsidRPr="00551DB6" w:rsidRDefault="00BF5D7B" w:rsidP="00B11F47">
            <w:pPr>
              <w:contextualSpacing/>
              <w:jc w:val="center"/>
            </w:pPr>
          </w:p>
        </w:tc>
      </w:tr>
      <w:tr w:rsidR="00BF5D7B" w:rsidRPr="003A459A" w:rsidTr="00B11F47">
        <w:tc>
          <w:tcPr>
            <w:tcW w:w="2463" w:type="dxa"/>
            <w:vMerge w:val="restart"/>
          </w:tcPr>
          <w:p w:rsidR="00BF5D7B" w:rsidRPr="003A459A" w:rsidRDefault="00BF5D7B" w:rsidP="00B11F47">
            <w:pPr>
              <w:rPr>
                <w:b/>
              </w:rPr>
            </w:pPr>
            <w:r w:rsidRPr="003A459A">
              <w:rPr>
                <w:b/>
              </w:rPr>
              <w:t>Экономист (по закупкам)</w:t>
            </w:r>
          </w:p>
        </w:tc>
        <w:tc>
          <w:tcPr>
            <w:tcW w:w="5300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Соблюдение трудовой дисциплины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 xml:space="preserve"> с замечаниями - 0 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-8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Соблюдение правил и норм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 xml:space="preserve">с замечаниями - 0 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-8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Работа с номенклатурой дел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 xml:space="preserve">с замечаниями - 0 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-8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Соблюдение профессионального этикета, степень корректности работника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 xml:space="preserve">с замечаниями - 0 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-8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Замечания руководителя, работников взаимодействующих учреждений, проверяющих органов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 xml:space="preserve">с замечаниями - 0 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-8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Предоставление отчетности,  документов, информации по отдельным запросам, поручений и заданий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 замечаниями – 0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с незначительными замечаниями – 6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- 12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 xml:space="preserve">Своевременное и правильное  размещение информации по текущей деятельности  в единой информационной системе </w:t>
            </w:r>
            <w:proofErr w:type="spellStart"/>
            <w:r w:rsidRPr="003A459A">
              <w:rPr>
                <w:lang w:val="en-US"/>
              </w:rPr>
              <w:t>Zakupki</w:t>
            </w:r>
            <w:proofErr w:type="spellEnd"/>
            <w:r w:rsidRPr="003A459A">
              <w:t>.</w:t>
            </w:r>
            <w:proofErr w:type="spellStart"/>
            <w:r w:rsidRPr="003A459A">
              <w:rPr>
                <w:lang w:val="en-US"/>
              </w:rPr>
              <w:t>gov</w:t>
            </w:r>
            <w:proofErr w:type="spellEnd"/>
            <w:r w:rsidRPr="003A459A">
              <w:t xml:space="preserve"> и торговых площадках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 замечаниями – 0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с незначительными замечаниями – 6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- 12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 xml:space="preserve">Подготовка документации для проведения закупок (техническое задание, описание объекта закупки, обоснование НМЦК, проект контракта) 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 замечаниями – 0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с незначительными замечаниями – 6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- 12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>В соответствии в ФЗ №44 «О контрактной системе в сфере закупок товаров работ и услуг для государственных и муниципальных нужд» ведение реестра контрактов,  учет и соблюдение совокупного годового объема закупок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 замечаниями – 0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с незначительными замечаниями – 6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- 12</w:t>
            </w:r>
          </w:p>
        </w:tc>
      </w:tr>
      <w:tr w:rsidR="00BF5D7B" w:rsidRPr="003A459A" w:rsidTr="00B11F47">
        <w:tc>
          <w:tcPr>
            <w:tcW w:w="2463" w:type="dxa"/>
            <w:vMerge/>
          </w:tcPr>
          <w:p w:rsidR="00BF5D7B" w:rsidRPr="003A459A" w:rsidRDefault="00BF5D7B" w:rsidP="00B11F47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BF5D7B" w:rsidRPr="003A459A" w:rsidRDefault="00BF5D7B" w:rsidP="00B11F47">
            <w:r w:rsidRPr="003A459A">
              <w:t xml:space="preserve">Осуществление закупок товаров, работ, услуг для обеспечения нужд учреждения. Заключение договоров. Обработка входящей документации по закупкам. Сопровождение закупочной процедуры до полного исполнения. </w:t>
            </w:r>
          </w:p>
        </w:tc>
        <w:tc>
          <w:tcPr>
            <w:tcW w:w="2091" w:type="dxa"/>
            <w:vAlign w:val="center"/>
          </w:tcPr>
          <w:p w:rsidR="00BF5D7B" w:rsidRPr="003A459A" w:rsidRDefault="00BF5D7B" w:rsidP="00B11F47">
            <w:pPr>
              <w:contextualSpacing/>
            </w:pPr>
            <w:r w:rsidRPr="003A459A">
              <w:t>с замечаниями – 0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с незначительными замечаниями – 6</w:t>
            </w:r>
          </w:p>
          <w:p w:rsidR="00BF5D7B" w:rsidRPr="003A459A" w:rsidRDefault="00BF5D7B" w:rsidP="00B11F47">
            <w:pPr>
              <w:contextualSpacing/>
            </w:pPr>
            <w:r w:rsidRPr="003A459A">
              <w:t>без замечаний - 12</w:t>
            </w:r>
          </w:p>
        </w:tc>
      </w:tr>
    </w:tbl>
    <w:p w:rsidR="00981906" w:rsidRPr="003A459A" w:rsidRDefault="00981906" w:rsidP="00981906">
      <w:pPr>
        <w:pStyle w:val="a7"/>
        <w:spacing w:after="0" w:line="240" w:lineRule="auto"/>
        <w:rPr>
          <w:b/>
        </w:rPr>
      </w:pPr>
    </w:p>
    <w:p w:rsidR="00981906" w:rsidRDefault="00981906" w:rsidP="008E3EBE"/>
    <w:p w:rsidR="00981906" w:rsidRDefault="00981906" w:rsidP="008E3EBE"/>
    <w:p w:rsidR="00981906" w:rsidRDefault="00981906" w:rsidP="008E3EBE"/>
    <w:p w:rsidR="00981906" w:rsidRDefault="00981906" w:rsidP="008E3EBE"/>
    <w:p w:rsidR="00834D07" w:rsidRDefault="00BF5D7B" w:rsidP="008E3EBE">
      <w:pPr>
        <w:rPr>
          <w:b/>
          <w:sz w:val="24"/>
          <w:szCs w:val="24"/>
        </w:rPr>
      </w:pPr>
      <w:r w:rsidRPr="00084BD9">
        <w:rPr>
          <w:b/>
          <w:sz w:val="24"/>
          <w:szCs w:val="24"/>
        </w:rPr>
        <w:t xml:space="preserve"> И.о.</w:t>
      </w:r>
      <w:r w:rsidR="00834D07">
        <w:rPr>
          <w:b/>
          <w:sz w:val="24"/>
          <w:szCs w:val="24"/>
        </w:rPr>
        <w:t xml:space="preserve"> </w:t>
      </w:r>
      <w:r w:rsidRPr="00084BD9">
        <w:rPr>
          <w:b/>
          <w:sz w:val="24"/>
          <w:szCs w:val="24"/>
        </w:rPr>
        <w:t xml:space="preserve">директора </w:t>
      </w:r>
      <w:r w:rsidR="00834D07">
        <w:rPr>
          <w:b/>
          <w:sz w:val="24"/>
          <w:szCs w:val="24"/>
        </w:rPr>
        <w:t xml:space="preserve">МКУК </w:t>
      </w:r>
    </w:p>
    <w:p w:rsidR="00981906" w:rsidRPr="00084BD9" w:rsidRDefault="00BF5D7B" w:rsidP="008E3EBE">
      <w:pPr>
        <w:rPr>
          <w:b/>
          <w:sz w:val="24"/>
          <w:szCs w:val="24"/>
        </w:rPr>
      </w:pPr>
      <w:r w:rsidRPr="00084BD9">
        <w:rPr>
          <w:b/>
          <w:sz w:val="24"/>
          <w:szCs w:val="24"/>
        </w:rPr>
        <w:t>"Ленский историко-краеведческий музей"</w:t>
      </w:r>
      <w:r w:rsidR="00084BD9">
        <w:rPr>
          <w:b/>
          <w:sz w:val="24"/>
          <w:szCs w:val="24"/>
        </w:rPr>
        <w:t xml:space="preserve">                 </w:t>
      </w:r>
      <w:r w:rsidR="00834D07">
        <w:rPr>
          <w:b/>
          <w:sz w:val="24"/>
          <w:szCs w:val="24"/>
        </w:rPr>
        <w:t xml:space="preserve">                        </w:t>
      </w:r>
      <w:r w:rsidR="00084BD9">
        <w:rPr>
          <w:b/>
          <w:sz w:val="24"/>
          <w:szCs w:val="24"/>
        </w:rPr>
        <w:t xml:space="preserve">      </w:t>
      </w:r>
      <w:r w:rsidRPr="00084BD9">
        <w:rPr>
          <w:b/>
          <w:sz w:val="24"/>
          <w:szCs w:val="24"/>
        </w:rPr>
        <w:t xml:space="preserve">  С.А. Кузьмина</w:t>
      </w:r>
    </w:p>
    <w:p w:rsidR="00981906" w:rsidRPr="00084BD9" w:rsidRDefault="00BF5D7B" w:rsidP="008E3EBE">
      <w:pPr>
        <w:rPr>
          <w:b/>
          <w:sz w:val="24"/>
          <w:szCs w:val="24"/>
        </w:rPr>
      </w:pPr>
      <w:r w:rsidRPr="00084BD9">
        <w:rPr>
          <w:b/>
          <w:sz w:val="24"/>
          <w:szCs w:val="24"/>
        </w:rPr>
        <w:t xml:space="preserve">  </w:t>
      </w:r>
    </w:p>
    <w:p w:rsidR="00981906" w:rsidRDefault="00981906" w:rsidP="008E3EBE"/>
    <w:p w:rsidR="00981906" w:rsidRDefault="00981906" w:rsidP="008E3EBE"/>
    <w:p w:rsidR="00981906" w:rsidRPr="008E3EBE" w:rsidRDefault="00981906" w:rsidP="008E3EBE"/>
    <w:sectPr w:rsidR="00981906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EE6619"/>
    <w:multiLevelType w:val="multilevel"/>
    <w:tmpl w:val="1FB81E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563BF"/>
    <w:rsid w:val="0000080B"/>
    <w:rsid w:val="00001F35"/>
    <w:rsid w:val="00064255"/>
    <w:rsid w:val="0006492E"/>
    <w:rsid w:val="00074BEC"/>
    <w:rsid w:val="00084BD9"/>
    <w:rsid w:val="000A5814"/>
    <w:rsid w:val="00192A7F"/>
    <w:rsid w:val="00212FF4"/>
    <w:rsid w:val="00327CD6"/>
    <w:rsid w:val="0033241D"/>
    <w:rsid w:val="0037516D"/>
    <w:rsid w:val="004638E4"/>
    <w:rsid w:val="004901BF"/>
    <w:rsid w:val="004B2612"/>
    <w:rsid w:val="00586869"/>
    <w:rsid w:val="005C133F"/>
    <w:rsid w:val="00616261"/>
    <w:rsid w:val="00637468"/>
    <w:rsid w:val="00642E00"/>
    <w:rsid w:val="00681592"/>
    <w:rsid w:val="00686D80"/>
    <w:rsid w:val="006B56AC"/>
    <w:rsid w:val="006D067A"/>
    <w:rsid w:val="007121C0"/>
    <w:rsid w:val="0075031E"/>
    <w:rsid w:val="007D160B"/>
    <w:rsid w:val="00834D07"/>
    <w:rsid w:val="00837014"/>
    <w:rsid w:val="008B3E56"/>
    <w:rsid w:val="008E3EBE"/>
    <w:rsid w:val="009361B6"/>
    <w:rsid w:val="009563BF"/>
    <w:rsid w:val="00963675"/>
    <w:rsid w:val="00981906"/>
    <w:rsid w:val="009B11B6"/>
    <w:rsid w:val="009C0DBC"/>
    <w:rsid w:val="009D0A88"/>
    <w:rsid w:val="009D106E"/>
    <w:rsid w:val="00A2675D"/>
    <w:rsid w:val="00A26C79"/>
    <w:rsid w:val="00A6092B"/>
    <w:rsid w:val="00A63515"/>
    <w:rsid w:val="00AC6E39"/>
    <w:rsid w:val="00BC1F18"/>
    <w:rsid w:val="00BD5BA3"/>
    <w:rsid w:val="00BF5D7B"/>
    <w:rsid w:val="00BF5EB4"/>
    <w:rsid w:val="00C01017"/>
    <w:rsid w:val="00C03083"/>
    <w:rsid w:val="00C27E14"/>
    <w:rsid w:val="00C7661B"/>
    <w:rsid w:val="00CF4E5B"/>
    <w:rsid w:val="00D41EA5"/>
    <w:rsid w:val="00D44918"/>
    <w:rsid w:val="00D659BC"/>
    <w:rsid w:val="00D75BD1"/>
    <w:rsid w:val="00DB341C"/>
    <w:rsid w:val="00E3638A"/>
    <w:rsid w:val="00F06AE2"/>
    <w:rsid w:val="00F427BB"/>
    <w:rsid w:val="00F70AB5"/>
    <w:rsid w:val="00F93546"/>
    <w:rsid w:val="00F93C6C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5970"/>
  <w15:docId w15:val="{78E0C702-0505-4D3A-9EE7-9D571E1D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C6E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unhideWhenUsed/>
    <w:rsid w:val="00981906"/>
    <w:pPr>
      <w:widowControl/>
      <w:autoSpaceDE/>
      <w:autoSpaceDN/>
      <w:adjustRightInd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A32F-2187-4B3C-8AC2-C3A8D51C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2019-12-23T03:49:00Z</cp:lastPrinted>
  <dcterms:created xsi:type="dcterms:W3CDTF">2024-10-24T03:34:00Z</dcterms:created>
  <dcterms:modified xsi:type="dcterms:W3CDTF">2024-10-24T03:34:00Z</dcterms:modified>
</cp:coreProperties>
</file>