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5112E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112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5112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__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___</w:t>
            </w:r>
            <w:r w:rsidR="005112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01-04-2340/4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F74986" w:rsidRPr="00F74986" w:rsidRDefault="00F74986" w:rsidP="00F749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986">
        <w:rPr>
          <w:b/>
          <w:sz w:val="28"/>
          <w:szCs w:val="28"/>
        </w:rPr>
        <w:t>Об утверждении списка получателей грантов</w:t>
      </w:r>
    </w:p>
    <w:p w:rsidR="00F74986" w:rsidRPr="00F74986" w:rsidRDefault="00F74986" w:rsidP="00F7498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 xml:space="preserve">В соответствии с Порядком предоставления грантов в форме субсидий физическим лицам из бюджета муниципального </w:t>
      </w:r>
      <w:r w:rsidR="00460CF4">
        <w:rPr>
          <w:sz w:val="28"/>
          <w:szCs w:val="28"/>
        </w:rPr>
        <w:t>образования</w:t>
      </w:r>
      <w:r w:rsidRPr="00F74986">
        <w:rPr>
          <w:sz w:val="28"/>
          <w:szCs w:val="28"/>
        </w:rPr>
        <w:t xml:space="preserve"> «Ленский район» на реализацию проектов по содействию патриотическому воспитанию молодежи на территории Ленского района Республики Саха (Якутия), утвержденным постановлением и.о. главы муниципального образования «Ленский район» от 30 сентября 2021 года № 01-03-599/1, </w:t>
      </w:r>
      <w:r w:rsidRPr="00F74986">
        <w:rPr>
          <w:sz w:val="28"/>
          <w:szCs w:val="28"/>
        </w:rPr>
        <w:lastRenderedPageBreak/>
        <w:t xml:space="preserve">на основании решения конкурсной комиссии по предоставлению грантов в форме субсидий физическим лицам из бюджета муниципального </w:t>
      </w:r>
      <w:r w:rsidR="00D1483C">
        <w:rPr>
          <w:sz w:val="28"/>
          <w:szCs w:val="28"/>
        </w:rPr>
        <w:t>образования</w:t>
      </w:r>
      <w:r w:rsidRPr="00F74986">
        <w:rPr>
          <w:sz w:val="28"/>
          <w:szCs w:val="28"/>
        </w:rPr>
        <w:t xml:space="preserve"> «Ленский район» на реализацию проектов по содействию патриотическому воспитанию молодежи на территории Ленского района Республики Саха (Якутия):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 xml:space="preserve">1. Утвердить протокол заседания конкурсной комиссии по предоставлению грантов в форме субсидий физическим лицам из бюджета муниципального </w:t>
      </w:r>
      <w:r w:rsidR="005F5CD8">
        <w:rPr>
          <w:sz w:val="28"/>
          <w:szCs w:val="28"/>
        </w:rPr>
        <w:t>образования</w:t>
      </w:r>
      <w:r w:rsidRPr="00F74986">
        <w:rPr>
          <w:sz w:val="28"/>
          <w:szCs w:val="28"/>
        </w:rPr>
        <w:t xml:space="preserve"> «Ленский район» на реализацию проектов по содействию патриотическому воспитанию молодежи на территории Ленского района Республики Саха (Якутия) от 18 октября 2024 года, согласно приложению № 1 к настоящему распоряжению.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lastRenderedPageBreak/>
        <w:t>2. Утвердить список получателей грантов, согласно приложению № 2 к настоящему распоряжению.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>3. МКУ «Комитет по молодежной и семейной политике» (Великодная Т.И.):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>3.1. Заключить соглашения с получателями грантов;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>3.2. Перечислить гранты на расчетный счет получателей.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 xml:space="preserve">4. Источником финансирования считать бюджет муниципального </w:t>
      </w:r>
      <w:r w:rsidR="00460CF4">
        <w:rPr>
          <w:sz w:val="28"/>
          <w:szCs w:val="28"/>
        </w:rPr>
        <w:t>образования</w:t>
      </w:r>
      <w:r w:rsidRPr="00F74986">
        <w:rPr>
          <w:sz w:val="28"/>
          <w:szCs w:val="28"/>
        </w:rPr>
        <w:t xml:space="preserve"> «Ленский район» по муниципальной программе «Реализация молодежной политики, патриотического воспитания граждан и развитие гражданского общества в Ленском районе».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 xml:space="preserve">5. Главному специалисту управления делами (Иванская Е.С.) опубликовать настоящее </w:t>
      </w:r>
      <w:r w:rsidR="00624E15">
        <w:rPr>
          <w:sz w:val="28"/>
          <w:szCs w:val="28"/>
        </w:rPr>
        <w:t>распоряжение</w:t>
      </w:r>
      <w:r w:rsidRPr="00F74986">
        <w:rPr>
          <w:sz w:val="28"/>
          <w:szCs w:val="28"/>
        </w:rPr>
        <w:t xml:space="preserve"> в средствах массовой информации и обеспечить размещение на </w:t>
      </w:r>
      <w:r w:rsidRPr="00F74986">
        <w:rPr>
          <w:sz w:val="28"/>
          <w:szCs w:val="28"/>
        </w:rPr>
        <w:lastRenderedPageBreak/>
        <w:t xml:space="preserve">официальном сайте администрации муниципального </w:t>
      </w:r>
      <w:r w:rsidR="00460CF4">
        <w:rPr>
          <w:sz w:val="28"/>
          <w:szCs w:val="28"/>
        </w:rPr>
        <w:t xml:space="preserve">образования </w:t>
      </w:r>
      <w:r w:rsidRPr="00F74986">
        <w:rPr>
          <w:sz w:val="28"/>
          <w:szCs w:val="28"/>
        </w:rPr>
        <w:t>«Ленский район».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74986">
        <w:rPr>
          <w:sz w:val="28"/>
          <w:szCs w:val="28"/>
        </w:rPr>
        <w:t>6. Контроль исполнения настоящего распоряжения возложить на заместителя главы по социальным вопросам Барбашову А.С.</w:t>
      </w: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jc w:val="both"/>
        <w:rPr>
          <w:vanish/>
        </w:rPr>
      </w:pPr>
    </w:p>
    <w:p w:rsidR="00F74986" w:rsidRPr="00F74986" w:rsidRDefault="00F74986" w:rsidP="00F7498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9638"/>
      </w:tblGrid>
      <w:tr w:rsidR="00F74986" w:rsidRPr="00F74986" w:rsidTr="00017004">
        <w:tc>
          <w:tcPr>
            <w:tcW w:w="9747" w:type="dxa"/>
          </w:tcPr>
          <w:p w:rsidR="00F74986" w:rsidRPr="00F74986" w:rsidRDefault="00F74986" w:rsidP="00F749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74986">
              <w:rPr>
                <w:b/>
                <w:sz w:val="28"/>
                <w:szCs w:val="28"/>
              </w:rPr>
              <w:t>И.о. главы                                                                                  С.В. Спиридонов</w:t>
            </w:r>
          </w:p>
        </w:tc>
      </w:tr>
    </w:tbl>
    <w:p w:rsidR="00F74986" w:rsidRPr="00F74986" w:rsidRDefault="00F74986" w:rsidP="00F74986">
      <w:pPr>
        <w:widowControl/>
        <w:autoSpaceDE/>
        <w:autoSpaceDN/>
        <w:adjustRightInd/>
        <w:rPr>
          <w:sz w:val="24"/>
          <w:szCs w:val="24"/>
        </w:rPr>
      </w:pPr>
    </w:p>
    <w:p w:rsidR="00F74986" w:rsidRPr="00F74986" w:rsidRDefault="00F74986" w:rsidP="00F74986">
      <w:pPr>
        <w:widowControl/>
        <w:autoSpaceDE/>
        <w:autoSpaceDN/>
        <w:adjustRightInd/>
        <w:rPr>
          <w:sz w:val="24"/>
          <w:szCs w:val="24"/>
        </w:rPr>
      </w:pPr>
    </w:p>
    <w:p w:rsidR="00F74986" w:rsidRPr="00F74986" w:rsidRDefault="00F74986" w:rsidP="00F74986">
      <w:pPr>
        <w:widowControl/>
        <w:autoSpaceDE/>
        <w:autoSpaceDN/>
        <w:adjustRightInd/>
        <w:rPr>
          <w:sz w:val="24"/>
          <w:szCs w:val="24"/>
        </w:rPr>
      </w:pPr>
    </w:p>
    <w:p w:rsidR="00F74986" w:rsidRPr="00F74986" w:rsidRDefault="00F74986" w:rsidP="00F74986">
      <w:pPr>
        <w:widowControl/>
        <w:autoSpaceDE/>
        <w:autoSpaceDN/>
        <w:adjustRightInd/>
        <w:rPr>
          <w:sz w:val="24"/>
          <w:szCs w:val="24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F7498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4986" w:rsidRDefault="00F74986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986" w:rsidRDefault="00F74986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6224"/>
        <w:gridCol w:w="4771"/>
      </w:tblGrid>
      <w:tr w:rsidR="00452765" w:rsidRPr="00452765" w:rsidTr="00AE21F9">
        <w:trPr>
          <w:trHeight w:val="1781"/>
        </w:trPr>
        <w:tc>
          <w:tcPr>
            <w:tcW w:w="6224" w:type="dxa"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Приложение </w:t>
            </w:r>
            <w:r w:rsidR="00E3112B" w:rsidRPr="00460CF4">
              <w:rPr>
                <w:sz w:val="28"/>
                <w:szCs w:val="28"/>
              </w:rPr>
              <w:t>1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к распоряжению </w:t>
            </w:r>
            <w:r w:rsidR="00E5745B">
              <w:rPr>
                <w:sz w:val="28"/>
                <w:szCs w:val="28"/>
              </w:rPr>
              <w:t xml:space="preserve">и.о. </w:t>
            </w:r>
            <w:r w:rsidRPr="00452765">
              <w:rPr>
                <w:sz w:val="28"/>
                <w:szCs w:val="28"/>
              </w:rPr>
              <w:t xml:space="preserve">главы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от «</w:t>
            </w:r>
            <w:r w:rsidR="005112ED">
              <w:rPr>
                <w:sz w:val="28"/>
                <w:szCs w:val="28"/>
              </w:rPr>
              <w:t>25</w:t>
            </w:r>
            <w:r w:rsidRPr="00452765">
              <w:rPr>
                <w:sz w:val="28"/>
                <w:szCs w:val="28"/>
              </w:rPr>
              <w:t>» _</w:t>
            </w:r>
            <w:r w:rsidR="005112ED">
              <w:rPr>
                <w:sz w:val="28"/>
                <w:szCs w:val="28"/>
                <w:u w:val="single"/>
              </w:rPr>
              <w:t>октября</w:t>
            </w:r>
            <w:r w:rsidRPr="00452765">
              <w:rPr>
                <w:sz w:val="28"/>
                <w:szCs w:val="28"/>
              </w:rPr>
              <w:t>_2024 г.</w:t>
            </w:r>
          </w:p>
          <w:p w:rsidR="00452765" w:rsidRPr="00452765" w:rsidRDefault="00452765" w:rsidP="005112ED">
            <w:pPr>
              <w:rPr>
                <w:b/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№ ___</w:t>
            </w:r>
            <w:r w:rsidR="005112ED">
              <w:rPr>
                <w:sz w:val="28"/>
                <w:szCs w:val="28"/>
                <w:u w:val="single"/>
              </w:rPr>
              <w:t>01-04-2340/4</w:t>
            </w:r>
            <w:r w:rsidRPr="00452765">
              <w:rPr>
                <w:sz w:val="28"/>
                <w:szCs w:val="28"/>
              </w:rPr>
              <w:t>_____</w:t>
            </w:r>
          </w:p>
        </w:tc>
      </w:tr>
    </w:tbl>
    <w:p w:rsidR="00452765" w:rsidRDefault="00452765" w:rsidP="00452765">
      <w:pPr>
        <w:jc w:val="center"/>
        <w:rPr>
          <w:b/>
          <w:sz w:val="28"/>
          <w:szCs w:val="28"/>
        </w:rPr>
      </w:pPr>
    </w:p>
    <w:p w:rsidR="000B5EE4" w:rsidRPr="00405E8C" w:rsidRDefault="000B5EE4" w:rsidP="000B5EE4">
      <w:pPr>
        <w:jc w:val="center"/>
        <w:rPr>
          <w:b/>
          <w:bCs/>
          <w:sz w:val="28"/>
          <w:szCs w:val="28"/>
        </w:rPr>
      </w:pPr>
      <w:r w:rsidRPr="00405E8C">
        <w:rPr>
          <w:b/>
          <w:bCs/>
          <w:sz w:val="28"/>
          <w:szCs w:val="28"/>
        </w:rPr>
        <w:t>Протокол</w:t>
      </w:r>
    </w:p>
    <w:p w:rsidR="000B5EE4" w:rsidRPr="00CF51E0" w:rsidRDefault="000B5EE4" w:rsidP="000B5EE4">
      <w:pPr>
        <w:jc w:val="center"/>
        <w:rPr>
          <w:b/>
          <w:color w:val="000000"/>
          <w:sz w:val="28"/>
          <w:szCs w:val="28"/>
        </w:rPr>
      </w:pPr>
      <w:r w:rsidRPr="00405E8C">
        <w:rPr>
          <w:b/>
          <w:sz w:val="28"/>
          <w:szCs w:val="28"/>
        </w:rPr>
        <w:t xml:space="preserve">заседания Конкурсной комиссии </w:t>
      </w:r>
      <w:r w:rsidRPr="00A826BC">
        <w:rPr>
          <w:b/>
          <w:sz w:val="28"/>
          <w:szCs w:val="28"/>
        </w:rPr>
        <w:t>по предоставлени</w:t>
      </w:r>
      <w:r>
        <w:rPr>
          <w:b/>
          <w:sz w:val="28"/>
          <w:szCs w:val="28"/>
        </w:rPr>
        <w:t>ю</w:t>
      </w:r>
      <w:r w:rsidRPr="00A826BC">
        <w:rPr>
          <w:b/>
          <w:sz w:val="28"/>
          <w:szCs w:val="28"/>
        </w:rPr>
        <w:t xml:space="preserve">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:rsidR="000B5EE4" w:rsidRPr="00CF51E0" w:rsidRDefault="000B5EE4" w:rsidP="000B5EE4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0B5EE4" w:rsidRPr="00CF51E0" w:rsidRDefault="000B5EE4" w:rsidP="000B5EE4">
      <w:pPr>
        <w:rPr>
          <w:sz w:val="28"/>
          <w:szCs w:val="28"/>
        </w:rPr>
      </w:pPr>
      <w:r w:rsidRPr="00CF51E0">
        <w:rPr>
          <w:sz w:val="28"/>
          <w:szCs w:val="28"/>
        </w:rPr>
        <w:t>г. Ленск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«18</w:t>
      </w:r>
      <w:r w:rsidRPr="00CF51E0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2024</w:t>
      </w:r>
      <w:r w:rsidRPr="00CF51E0">
        <w:rPr>
          <w:sz w:val="28"/>
          <w:szCs w:val="28"/>
        </w:rPr>
        <w:t xml:space="preserve"> г.</w:t>
      </w:r>
    </w:p>
    <w:p w:rsidR="000B5EE4" w:rsidRPr="00CF51E0" w:rsidRDefault="000B5EE4" w:rsidP="000B5EE4">
      <w:pPr>
        <w:spacing w:line="360" w:lineRule="auto"/>
        <w:ind w:firstLine="709"/>
        <w:contextualSpacing/>
        <w:rPr>
          <w:sz w:val="28"/>
          <w:szCs w:val="28"/>
        </w:rPr>
      </w:pPr>
    </w:p>
    <w:p w:rsidR="000B5EE4" w:rsidRPr="00CF51E0" w:rsidRDefault="000B5EE4" w:rsidP="000B5E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b/>
          <w:sz w:val="28"/>
          <w:szCs w:val="28"/>
        </w:rPr>
        <w:t>Повестка:</w:t>
      </w:r>
    </w:p>
    <w:p w:rsidR="000B5EE4" w:rsidRPr="000A2228" w:rsidRDefault="000B5EE4" w:rsidP="000B5EE4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заявок</w:t>
      </w:r>
      <w:r w:rsidRPr="0012416D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12416D">
        <w:rPr>
          <w:sz w:val="28"/>
          <w:szCs w:val="28"/>
        </w:rPr>
        <w:t xml:space="preserve"> на конкурс</w:t>
      </w:r>
      <w:r w:rsidRPr="008450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228">
        <w:rPr>
          <w:sz w:val="28"/>
          <w:szCs w:val="28"/>
        </w:rPr>
        <w:t>Определение итоговой суммы баллов оценки по каждой заявке и формирование рейтингового списка заявителей на получение грантов в форме субсидий.</w:t>
      </w:r>
    </w:p>
    <w:p w:rsidR="000B5EE4" w:rsidRPr="00645334" w:rsidRDefault="000B5EE4" w:rsidP="000B5EE4">
      <w:pPr>
        <w:pStyle w:val="a9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645334">
        <w:rPr>
          <w:sz w:val="28"/>
          <w:szCs w:val="28"/>
        </w:rPr>
        <w:t>Рассмотрение вопроса о продлени</w:t>
      </w:r>
      <w:r>
        <w:rPr>
          <w:sz w:val="28"/>
          <w:szCs w:val="28"/>
        </w:rPr>
        <w:t>и</w:t>
      </w:r>
      <w:r w:rsidRPr="00645334">
        <w:rPr>
          <w:sz w:val="28"/>
          <w:szCs w:val="28"/>
        </w:rPr>
        <w:t xml:space="preserve"> срока </w:t>
      </w:r>
      <w:r>
        <w:rPr>
          <w:sz w:val="28"/>
          <w:szCs w:val="28"/>
        </w:rPr>
        <w:t xml:space="preserve">и способов реализации проекта на базе МБОУ СОШ №2 </w:t>
      </w:r>
      <w:r w:rsidRPr="00645334">
        <w:rPr>
          <w:sz w:val="28"/>
          <w:szCs w:val="28"/>
        </w:rPr>
        <w:t xml:space="preserve">соглашения 01-22-29/23 заключенного 03.11.2023 </w:t>
      </w:r>
      <w:r>
        <w:rPr>
          <w:sz w:val="28"/>
          <w:szCs w:val="28"/>
        </w:rPr>
        <w:t xml:space="preserve">с </w:t>
      </w:r>
      <w:r w:rsidRPr="00645334">
        <w:rPr>
          <w:sz w:val="28"/>
          <w:szCs w:val="28"/>
        </w:rPr>
        <w:t>участник</w:t>
      </w:r>
      <w:r>
        <w:rPr>
          <w:sz w:val="28"/>
          <w:szCs w:val="28"/>
        </w:rPr>
        <w:t>ом</w:t>
      </w:r>
      <w:r w:rsidRPr="00645334">
        <w:rPr>
          <w:sz w:val="28"/>
          <w:szCs w:val="28"/>
        </w:rPr>
        <w:t xml:space="preserve"> конкурса грантов в форме субсидий </w:t>
      </w:r>
      <w:r w:rsidRPr="00645334">
        <w:rPr>
          <w:sz w:val="28"/>
          <w:szCs w:val="28"/>
        </w:rPr>
        <w:lastRenderedPageBreak/>
        <w:t>физическим лицам из бюджета муниципального образования «Ленский район» на реализацию проектов по содействию патриотическому воспитанию молодежи Старченков</w:t>
      </w:r>
      <w:r>
        <w:rPr>
          <w:sz w:val="28"/>
          <w:szCs w:val="28"/>
        </w:rPr>
        <w:t xml:space="preserve">ой </w:t>
      </w:r>
      <w:r w:rsidRPr="00645334">
        <w:rPr>
          <w:sz w:val="28"/>
          <w:szCs w:val="28"/>
        </w:rPr>
        <w:t>К.В.</w:t>
      </w:r>
    </w:p>
    <w:p w:rsidR="000B5EE4" w:rsidRPr="0002464F" w:rsidRDefault="000B5EE4" w:rsidP="000B5EE4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Pr="0002464F">
        <w:rPr>
          <w:sz w:val="28"/>
          <w:szCs w:val="28"/>
        </w:rPr>
        <w:t xml:space="preserve"> в порядок по предоставлению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 очную защиту проектов конкурсантами.</w:t>
      </w:r>
    </w:p>
    <w:p w:rsidR="000B5EE4" w:rsidRPr="00CF51E0" w:rsidRDefault="000B5EE4" w:rsidP="000B5EE4">
      <w:pPr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Присутствовали:</w:t>
      </w:r>
    </w:p>
    <w:p w:rsidR="000B5EE4" w:rsidRPr="00DB5B00" w:rsidRDefault="000B5EE4" w:rsidP="000B5E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Барбашова Анна Сергеевна</w:t>
      </w:r>
      <w:r w:rsidRPr="00DB5B00">
        <w:rPr>
          <w:sz w:val="28"/>
          <w:szCs w:val="28"/>
        </w:rPr>
        <w:t xml:space="preserve"> – заместитель главы по социальным вопросам </w:t>
      </w:r>
      <w:r w:rsidRPr="00C07D7D">
        <w:rPr>
          <w:sz w:val="28"/>
          <w:szCs w:val="28"/>
        </w:rPr>
        <w:t>М</w:t>
      </w:r>
      <w:r>
        <w:rPr>
          <w:sz w:val="28"/>
          <w:szCs w:val="28"/>
        </w:rPr>
        <w:t>Р</w:t>
      </w:r>
      <w:r w:rsidRPr="00DB5B00">
        <w:rPr>
          <w:sz w:val="28"/>
          <w:szCs w:val="28"/>
        </w:rPr>
        <w:t xml:space="preserve"> «Ленский район», председатель комиссии;</w:t>
      </w:r>
    </w:p>
    <w:p w:rsidR="000B5EE4" w:rsidRPr="00DB5B00" w:rsidRDefault="000B5EE4" w:rsidP="000B5EE4">
      <w:pPr>
        <w:ind w:firstLine="709"/>
        <w:contextualSpacing/>
        <w:jc w:val="both"/>
        <w:rPr>
          <w:sz w:val="28"/>
          <w:szCs w:val="28"/>
        </w:rPr>
      </w:pPr>
      <w:r w:rsidRPr="00745AB1">
        <w:rPr>
          <w:sz w:val="28"/>
          <w:szCs w:val="28"/>
        </w:rPr>
        <w:t>Великодная Татьяна Ивановна –председател</w:t>
      </w:r>
      <w:r>
        <w:rPr>
          <w:sz w:val="28"/>
          <w:szCs w:val="28"/>
        </w:rPr>
        <w:t>ь</w:t>
      </w:r>
      <w:r w:rsidRPr="00745AB1">
        <w:rPr>
          <w:sz w:val="28"/>
          <w:szCs w:val="28"/>
        </w:rPr>
        <w:t xml:space="preserve"> МКУ «Комитет по молодежной и семейной политике МО «Ленский район» РС (Я)», зам. председателя комиссии</w:t>
      </w:r>
      <w:r w:rsidRPr="00DB5B00">
        <w:rPr>
          <w:sz w:val="28"/>
          <w:szCs w:val="28"/>
        </w:rPr>
        <w:t>;</w:t>
      </w:r>
    </w:p>
    <w:p w:rsidR="000B5EE4" w:rsidRPr="00DB5B00" w:rsidRDefault="000B5EE4" w:rsidP="000B5E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Севостьянова Татьяна Николаевна</w:t>
      </w:r>
      <w:r w:rsidRPr="00DB5B0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</w:t>
      </w:r>
      <w:r w:rsidRPr="00DB5B00">
        <w:rPr>
          <w:sz w:val="28"/>
          <w:szCs w:val="28"/>
        </w:rPr>
        <w:t xml:space="preserve">специалист МКУ «Комитет по молодежной и семейной политике МО «Ленский район» РС (Я)», секретарь комиссии; </w:t>
      </w:r>
    </w:p>
    <w:p w:rsidR="000B5EE4" w:rsidRPr="00DB5B00" w:rsidRDefault="000B5EE4" w:rsidP="000B5EE4">
      <w:pPr>
        <w:ind w:firstLine="709"/>
        <w:contextualSpacing/>
        <w:jc w:val="both"/>
        <w:rPr>
          <w:sz w:val="28"/>
          <w:szCs w:val="28"/>
        </w:rPr>
      </w:pPr>
      <w:r w:rsidRPr="00745AB1">
        <w:rPr>
          <w:sz w:val="28"/>
          <w:szCs w:val="28"/>
        </w:rPr>
        <w:t xml:space="preserve">Федорова Елена Константиновна – и.о. начальника управления социального развития </w:t>
      </w:r>
      <w:r w:rsidRPr="009767F7">
        <w:rPr>
          <w:sz w:val="28"/>
          <w:szCs w:val="28"/>
        </w:rPr>
        <w:t>М</w:t>
      </w:r>
      <w:r>
        <w:rPr>
          <w:sz w:val="28"/>
          <w:szCs w:val="28"/>
        </w:rPr>
        <w:t>Р</w:t>
      </w:r>
      <w:r w:rsidRPr="00745AB1">
        <w:rPr>
          <w:sz w:val="28"/>
          <w:szCs w:val="28"/>
        </w:rPr>
        <w:t xml:space="preserve"> «Ленский район»;</w:t>
      </w:r>
    </w:p>
    <w:p w:rsidR="000B5EE4" w:rsidRPr="00DB5B00" w:rsidRDefault="000B5EE4" w:rsidP="000B5EE4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lastRenderedPageBreak/>
        <w:t>Филиппова Татьяна Анатольевна – начальник воспитательного отдела МКУ «Районное управление образования» МО «Ленский район»;</w:t>
      </w:r>
    </w:p>
    <w:p w:rsidR="000B5EE4" w:rsidRPr="00DB5B00" w:rsidRDefault="000B5EE4" w:rsidP="000B5E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Плакутина Ксения Игоревна</w:t>
      </w:r>
      <w:r w:rsidRPr="00DB5B0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воспитательного отдела «Районное управление образования» МО </w:t>
      </w:r>
      <w:r w:rsidRPr="00DB5B00">
        <w:rPr>
          <w:sz w:val="28"/>
          <w:szCs w:val="28"/>
        </w:rPr>
        <w:t>«Ленский район»;</w:t>
      </w:r>
    </w:p>
    <w:p w:rsidR="000B5EE4" w:rsidRDefault="000B5EE4" w:rsidP="000B5EE4">
      <w:pPr>
        <w:ind w:firstLine="709"/>
        <w:contextualSpacing/>
        <w:jc w:val="both"/>
        <w:rPr>
          <w:sz w:val="28"/>
          <w:szCs w:val="28"/>
        </w:rPr>
      </w:pPr>
      <w:r w:rsidRPr="00745AB1">
        <w:rPr>
          <w:sz w:val="28"/>
          <w:szCs w:val="28"/>
        </w:rPr>
        <w:t>Баракова Раиса Михайловна</w:t>
      </w:r>
      <w:r w:rsidRPr="00745AB1">
        <w:rPr>
          <w:sz w:val="28"/>
          <w:szCs w:val="28"/>
        </w:rPr>
        <w:tab/>
        <w:t>– председатель Ленской общественной организации «Районный совет ветеранов войны и труда»</w:t>
      </w:r>
      <w:r>
        <w:rPr>
          <w:sz w:val="28"/>
          <w:szCs w:val="28"/>
        </w:rPr>
        <w:t>.</w:t>
      </w:r>
    </w:p>
    <w:p w:rsidR="000B5EE4" w:rsidRPr="00CF51E0" w:rsidRDefault="000B5EE4" w:rsidP="000B5EE4">
      <w:pPr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Отсутствовали:</w:t>
      </w:r>
    </w:p>
    <w:p w:rsidR="000B5EE4" w:rsidRDefault="000B5EE4" w:rsidP="000B5EE4">
      <w:pPr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CF51E0">
        <w:rPr>
          <w:sz w:val="28"/>
          <w:szCs w:val="28"/>
        </w:rPr>
        <w:t xml:space="preserve"> комиссии:</w:t>
      </w:r>
    </w:p>
    <w:p w:rsidR="000B5EE4" w:rsidRDefault="000B5EE4" w:rsidP="000B5EE4">
      <w:pPr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Шумилов Ю.В.  – военный </w:t>
      </w:r>
      <w:r>
        <w:rPr>
          <w:sz w:val="28"/>
          <w:szCs w:val="28"/>
        </w:rPr>
        <w:t xml:space="preserve">комиссар Ленского района РС (Я), </w:t>
      </w:r>
    </w:p>
    <w:p w:rsidR="000B5EE4" w:rsidRDefault="000B5EE4" w:rsidP="000B5E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Седых Т.М.-помощник председателя Районного Совета депутатов </w:t>
      </w:r>
      <w:r w:rsidRPr="009767F7">
        <w:rPr>
          <w:sz w:val="28"/>
          <w:szCs w:val="28"/>
        </w:rPr>
        <w:t>МР</w:t>
      </w:r>
      <w:r>
        <w:rPr>
          <w:sz w:val="28"/>
          <w:szCs w:val="28"/>
        </w:rPr>
        <w:t xml:space="preserve"> «Ленский район»</w:t>
      </w:r>
    </w:p>
    <w:p w:rsidR="000B5EE4" w:rsidRDefault="000B5EE4" w:rsidP="000B5E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имеется.</w:t>
      </w:r>
    </w:p>
    <w:p w:rsidR="000B5EE4" w:rsidRPr="00745AB1" w:rsidRDefault="000B5EE4" w:rsidP="000B5EE4">
      <w:pPr>
        <w:spacing w:line="276" w:lineRule="auto"/>
        <w:rPr>
          <w:sz w:val="28"/>
          <w:szCs w:val="28"/>
        </w:rPr>
      </w:pPr>
      <w:bookmarkStart w:id="0" w:name="_Hlk88567210"/>
      <w:r w:rsidRPr="00745AB1">
        <w:rPr>
          <w:sz w:val="28"/>
          <w:szCs w:val="28"/>
        </w:rPr>
        <w:t xml:space="preserve">Общий грантовый фонд на </w:t>
      </w:r>
      <w:r>
        <w:rPr>
          <w:sz w:val="28"/>
          <w:szCs w:val="28"/>
        </w:rPr>
        <w:t>2024</w:t>
      </w:r>
      <w:r w:rsidRPr="00745AB1">
        <w:rPr>
          <w:sz w:val="28"/>
          <w:szCs w:val="28"/>
        </w:rPr>
        <w:t xml:space="preserve">год – </w:t>
      </w:r>
      <w:r>
        <w:rPr>
          <w:sz w:val="28"/>
          <w:szCs w:val="28"/>
        </w:rPr>
        <w:t>580 718</w:t>
      </w:r>
      <w:r w:rsidRPr="00745AB1">
        <w:rPr>
          <w:sz w:val="28"/>
          <w:szCs w:val="28"/>
        </w:rPr>
        <w:t xml:space="preserve"> руб.</w:t>
      </w:r>
    </w:p>
    <w:p w:rsidR="000B5EE4" w:rsidRPr="00745AB1" w:rsidRDefault="000B5EE4" w:rsidP="000B5EE4">
      <w:pPr>
        <w:spacing w:line="276" w:lineRule="auto"/>
        <w:rPr>
          <w:sz w:val="28"/>
          <w:szCs w:val="28"/>
        </w:rPr>
      </w:pPr>
      <w:r w:rsidRPr="00745AB1">
        <w:rPr>
          <w:sz w:val="28"/>
          <w:szCs w:val="28"/>
        </w:rPr>
        <w:t xml:space="preserve">Общая запрашиваемая сумма по всем проектам – </w:t>
      </w:r>
      <w:r>
        <w:rPr>
          <w:sz w:val="28"/>
          <w:szCs w:val="28"/>
        </w:rPr>
        <w:t>1 617 830</w:t>
      </w:r>
      <w:r w:rsidRPr="00745AB1">
        <w:rPr>
          <w:sz w:val="28"/>
          <w:szCs w:val="28"/>
        </w:rPr>
        <w:t xml:space="preserve"> руб.</w:t>
      </w:r>
    </w:p>
    <w:p w:rsidR="000B5EE4" w:rsidRDefault="000B5EE4" w:rsidP="000B5EE4">
      <w:pPr>
        <w:spacing w:line="276" w:lineRule="auto"/>
        <w:rPr>
          <w:sz w:val="28"/>
          <w:szCs w:val="28"/>
        </w:rPr>
      </w:pPr>
      <w:r w:rsidRPr="00745AB1">
        <w:rPr>
          <w:sz w:val="28"/>
          <w:szCs w:val="28"/>
        </w:rPr>
        <w:t xml:space="preserve">Максимальный размер гранта на один проект – </w:t>
      </w:r>
      <w:r>
        <w:rPr>
          <w:sz w:val="28"/>
          <w:szCs w:val="28"/>
        </w:rPr>
        <w:t>193 500</w:t>
      </w:r>
      <w:r w:rsidRPr="00745AB1">
        <w:rPr>
          <w:sz w:val="28"/>
          <w:szCs w:val="28"/>
        </w:rPr>
        <w:t xml:space="preserve"> руб.</w:t>
      </w:r>
    </w:p>
    <w:p w:rsidR="000B5EE4" w:rsidRDefault="000B5EE4" w:rsidP="000B5EE4">
      <w:pPr>
        <w:jc w:val="both"/>
        <w:rPr>
          <w:sz w:val="28"/>
          <w:szCs w:val="28"/>
        </w:rPr>
      </w:pPr>
    </w:p>
    <w:p w:rsidR="000B5EE4" w:rsidRDefault="000B5EE4" w:rsidP="000B5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принято и допущено к конкурсу 10 </w:t>
      </w:r>
      <w:r>
        <w:rPr>
          <w:sz w:val="28"/>
          <w:szCs w:val="28"/>
        </w:rPr>
        <w:lastRenderedPageBreak/>
        <w:t>заявок:</w:t>
      </w:r>
    </w:p>
    <w:p w:rsidR="000B5EE4" w:rsidRDefault="000B5EE4" w:rsidP="000B5EE4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09"/>
        <w:gridCol w:w="1418"/>
        <w:gridCol w:w="1276"/>
        <w:gridCol w:w="1559"/>
      </w:tblGrid>
      <w:tr w:rsidR="000B5EE4" w:rsidRPr="00DB5B00" w:rsidTr="00017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Автор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Наименование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E4" w:rsidRPr="00DB5B00" w:rsidRDefault="000B5EE4" w:rsidP="00017004">
            <w:pPr>
              <w:jc w:val="center"/>
              <w:rPr>
                <w:sz w:val="22"/>
                <w:szCs w:val="22"/>
              </w:rPr>
            </w:pPr>
            <w:r w:rsidRPr="007448EE">
              <w:t>Запрашиваемая 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jc w:val="center"/>
              <w:rPr>
                <w:sz w:val="22"/>
                <w:szCs w:val="22"/>
              </w:rPr>
            </w:pPr>
            <w:r w:rsidRPr="007448EE">
              <w:t>Сумма софинансирования,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jc w:val="center"/>
              <w:rPr>
                <w:sz w:val="22"/>
                <w:szCs w:val="22"/>
              </w:rPr>
            </w:pPr>
            <w:r w:rsidRPr="007448EE">
              <w:t>Общая сумма проекта, руб.</w:t>
            </w:r>
          </w:p>
        </w:tc>
      </w:tr>
      <w:tr w:rsidR="000B5EE4" w:rsidRPr="00DB5B00" w:rsidTr="00017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Кадыров Рифат Асхатович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45AB1">
              <w:rPr>
                <w:sz w:val="22"/>
                <w:szCs w:val="22"/>
              </w:rPr>
              <w:t>«КвадроМир»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622 562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816 062</w:t>
            </w:r>
          </w:p>
        </w:tc>
      </w:tr>
      <w:tr w:rsidR="000B5EE4" w:rsidRPr="00DB5B00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 Анастасия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45AB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Оборудование военно-спортивной полосы препятствий</w:t>
            </w:r>
            <w:r w:rsidRPr="00745AB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293 500</w:t>
            </w:r>
          </w:p>
        </w:tc>
      </w:tr>
      <w:tr w:rsidR="000B5EE4" w:rsidRPr="00DB5B00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Тарбаева Елена Федотовна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45AB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История отечества в лицах</w:t>
            </w:r>
            <w:r w:rsidRPr="00745AB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122 095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122 095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Терешкина Ирина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45AB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Семья героя</w:t>
            </w:r>
            <w:r w:rsidRPr="00745AB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276 000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DB5B00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Мыреева Наталья Спиридоновна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 патриотическое воспитание через национальный инструмент якутскую скрипку - кырыымпа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305 000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Уваровская Татьяна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Экспозиция школьного музея посвящённая погибшим участникам СВО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152 400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Ильчук Зоя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356BF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месте к победе»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190 840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148 080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338 920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Амузинский Михаил Павлович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«Забытые имена Витимской волости»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193 500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Мыреева Айтолина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«Стрельба из лука»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193 495</w:t>
            </w:r>
          </w:p>
        </w:tc>
      </w:tr>
      <w:tr w:rsidR="000B5EE4" w:rsidRPr="009767F7" w:rsidTr="0001700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Default="000B5EE4" w:rsidP="00017004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Торокова Виктория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психологической работы с участниками СВО»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745AB1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F76DD" w:rsidRDefault="000B5EE4" w:rsidP="000170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193 500</w:t>
            </w:r>
          </w:p>
        </w:tc>
      </w:tr>
    </w:tbl>
    <w:p w:rsidR="000B5EE4" w:rsidRPr="002E0F6A" w:rsidRDefault="000B5EE4" w:rsidP="000B5EE4">
      <w:pPr>
        <w:pStyle w:val="a9"/>
        <w:spacing w:line="360" w:lineRule="auto"/>
        <w:ind w:left="709"/>
        <w:jc w:val="both"/>
        <w:rPr>
          <w:sz w:val="28"/>
          <w:szCs w:val="28"/>
        </w:rPr>
      </w:pPr>
    </w:p>
    <w:p w:rsidR="000B5EE4" w:rsidRDefault="000B5EE4" w:rsidP="000B5EE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71464">
        <w:rPr>
          <w:rFonts w:eastAsia="Calibri"/>
          <w:sz w:val="28"/>
          <w:szCs w:val="28"/>
        </w:rPr>
        <w:t>Рассмотрев поступившие заявки</w:t>
      </w:r>
      <w:r>
        <w:rPr>
          <w:rFonts w:eastAsia="Calibri"/>
          <w:sz w:val="28"/>
          <w:szCs w:val="28"/>
        </w:rPr>
        <w:t xml:space="preserve">, обсудив все вопросы </w:t>
      </w:r>
      <w:r w:rsidRPr="00271464">
        <w:rPr>
          <w:rFonts w:eastAsia="Calibri"/>
          <w:sz w:val="28"/>
          <w:szCs w:val="28"/>
        </w:rPr>
        <w:t>и обменявшись мнениями,</w:t>
      </w:r>
      <w:r>
        <w:rPr>
          <w:rFonts w:eastAsia="Calibri"/>
          <w:sz w:val="28"/>
          <w:szCs w:val="28"/>
        </w:rPr>
        <w:t xml:space="preserve"> комиссия решила:</w:t>
      </w:r>
    </w:p>
    <w:p w:rsidR="000B5EE4" w:rsidRPr="000A2228" w:rsidRDefault="000B5EE4" w:rsidP="000B5EE4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 первому вопросу:</w:t>
      </w:r>
    </w:p>
    <w:p w:rsidR="000B5EE4" w:rsidRPr="000A2228" w:rsidRDefault="000B5EE4" w:rsidP="000B5EE4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 В</w:t>
      </w:r>
      <w:r w:rsidRPr="000A2228">
        <w:rPr>
          <w:rFonts w:eastAsia="Calibri"/>
          <w:sz w:val="28"/>
          <w:szCs w:val="28"/>
        </w:rPr>
        <w:t>ыставить каждому проекту следующие баллы согласно критериям оценки: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65"/>
        <w:gridCol w:w="618"/>
        <w:gridCol w:w="567"/>
        <w:gridCol w:w="473"/>
        <w:gridCol w:w="567"/>
        <w:gridCol w:w="567"/>
        <w:gridCol w:w="564"/>
        <w:gridCol w:w="684"/>
        <w:gridCol w:w="1734"/>
      </w:tblGrid>
      <w:tr w:rsidR="000B5EE4" w:rsidRPr="00376E61" w:rsidTr="00017004">
        <w:trPr>
          <w:trHeight w:val="281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</w:t>
            </w:r>
          </w:p>
        </w:tc>
        <w:tc>
          <w:tcPr>
            <w:tcW w:w="5774" w:type="dxa"/>
            <w:gridSpan w:val="8"/>
            <w:shd w:val="clear" w:color="auto" w:fill="auto"/>
          </w:tcPr>
          <w:p w:rsidR="000B5EE4" w:rsidRPr="00376E61" w:rsidRDefault="000B5EE4" w:rsidP="00017004">
            <w:pPr>
              <w:spacing w:after="200" w:line="276" w:lineRule="auto"/>
              <w:jc w:val="center"/>
            </w:pPr>
            <w:r>
              <w:t>Баллы</w:t>
            </w:r>
          </w:p>
        </w:tc>
      </w:tr>
      <w:tr w:rsidR="000B5EE4" w:rsidRPr="00376E61" w:rsidTr="00017004">
        <w:trPr>
          <w:cantSplit/>
          <w:trHeight w:val="18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E0F6A">
              <w:rPr>
                <w:rFonts w:eastAsia="Calibri"/>
                <w:lang w:eastAsia="en-US"/>
              </w:rPr>
              <w:t>№ 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E0F6A">
              <w:rPr>
                <w:rFonts w:eastAsia="Calibri"/>
                <w:lang w:eastAsia="en-US"/>
              </w:rPr>
              <w:t>№ 2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E0F6A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 № 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 № 5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 № 6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</w:tcPr>
          <w:p w:rsidR="000B5EE4" w:rsidRPr="002E0F6A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rFonts w:eastAsia="Calibri"/>
                <w:lang w:eastAsia="en-US"/>
              </w:rPr>
              <w:t>Член комиссии № 7</w:t>
            </w:r>
          </w:p>
        </w:tc>
        <w:tc>
          <w:tcPr>
            <w:tcW w:w="1734" w:type="dxa"/>
            <w:shd w:val="clear" w:color="auto" w:fill="auto"/>
            <w:textDirection w:val="btLr"/>
            <w:vAlign w:val="center"/>
          </w:tcPr>
          <w:p w:rsidR="000B5EE4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Итоговый балл (сумма баллов)</w:t>
            </w:r>
          </w:p>
          <w:p w:rsidR="000B5EE4" w:rsidRPr="00376E61" w:rsidRDefault="000B5EE4" w:rsidP="00017004">
            <w:pPr>
              <w:ind w:left="-57" w:right="-57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6E61">
              <w:rPr>
                <w:rFonts w:eastAsia="Calibri"/>
                <w:b/>
                <w:bCs/>
                <w:lang w:eastAsia="en-US"/>
              </w:rPr>
              <w:t>(рейтинг заявки)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45AB1">
              <w:rPr>
                <w:sz w:val="22"/>
                <w:szCs w:val="22"/>
              </w:rPr>
              <w:t>«КвадроМир»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95</w:t>
            </w:r>
          </w:p>
        </w:tc>
      </w:tr>
      <w:tr w:rsidR="000B5EE4" w:rsidRPr="00376E61" w:rsidTr="00017004">
        <w:trPr>
          <w:trHeight w:val="64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356BF">
              <w:rPr>
                <w:rFonts w:eastAsia="Calibri"/>
                <w:lang w:eastAsia="en-US"/>
              </w:rPr>
              <w:t>«Оборудование военно-спортивной полосы препятствий»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bookmarkStart w:id="1" w:name="_Hlk71720892"/>
            <w:r w:rsidRPr="00DB5B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376E61" w:rsidRDefault="000B5EE4" w:rsidP="00017004">
            <w:pPr>
              <w:jc w:val="center"/>
              <w:rPr>
                <w:rFonts w:eastAsia="Calibri"/>
              </w:rPr>
            </w:pPr>
            <w:r w:rsidRPr="007356BF">
              <w:rPr>
                <w:rFonts w:eastAsia="Calibri"/>
              </w:rPr>
              <w:t>«История отечества в лицах»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103</w:t>
            </w:r>
          </w:p>
        </w:tc>
      </w:tr>
      <w:bookmarkEnd w:id="1"/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376E61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376E61" w:rsidRDefault="000B5EE4" w:rsidP="00017004">
            <w:pPr>
              <w:jc w:val="center"/>
              <w:rPr>
                <w:rFonts w:eastAsia="Calibri"/>
              </w:rPr>
            </w:pPr>
            <w:r w:rsidRPr="007356BF">
              <w:rPr>
                <w:rFonts w:eastAsia="Calibri"/>
              </w:rPr>
              <w:t>«Семья героя»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356BF">
              <w:rPr>
                <w:sz w:val="22"/>
                <w:szCs w:val="22"/>
              </w:rPr>
              <w:t xml:space="preserve">Нравственно патриотическое воспитание через национальный инструмент якутскую скрипку </w:t>
            </w:r>
            <w:r>
              <w:rPr>
                <w:sz w:val="22"/>
                <w:szCs w:val="22"/>
              </w:rPr>
              <w:t>–</w:t>
            </w:r>
            <w:r w:rsidRPr="007356BF">
              <w:rPr>
                <w:sz w:val="22"/>
                <w:szCs w:val="22"/>
              </w:rPr>
              <w:t xml:space="preserve"> кырыымпа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563E66" w:rsidRDefault="000B5EE4" w:rsidP="00017004">
            <w:pPr>
              <w:contextualSpacing/>
              <w:jc w:val="center"/>
              <w:rPr>
                <w:b/>
              </w:rPr>
            </w:pPr>
            <w:r w:rsidRPr="00563E66">
              <w:rPr>
                <w:b/>
              </w:rPr>
              <w:t>133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356BF">
              <w:rPr>
                <w:sz w:val="22"/>
                <w:szCs w:val="22"/>
              </w:rPr>
              <w:t>Экспозиция школьного музея посвящённая погибшим участникам СВО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563E66" w:rsidRDefault="000B5EE4" w:rsidP="00017004">
            <w:pPr>
              <w:contextualSpacing/>
              <w:jc w:val="center"/>
              <w:rPr>
                <w:b/>
              </w:rPr>
            </w:pPr>
            <w:r w:rsidRPr="00563E66">
              <w:rPr>
                <w:b/>
              </w:rPr>
              <w:t>119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Pr="00DB5B00" w:rsidRDefault="000B5EE4" w:rsidP="0001700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356BF">
              <w:rPr>
                <w:sz w:val="22"/>
                <w:szCs w:val="22"/>
              </w:rPr>
              <w:t>«</w:t>
            </w:r>
            <w:r w:rsidRPr="007356BF">
              <w:rPr>
                <w:sz w:val="22"/>
                <w:szCs w:val="22"/>
                <w:lang w:val="en-US"/>
              </w:rPr>
              <w:t>V</w:t>
            </w:r>
            <w:r w:rsidRPr="007356BF">
              <w:rPr>
                <w:sz w:val="22"/>
                <w:szCs w:val="22"/>
              </w:rPr>
              <w:t>месте к победе»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563E66" w:rsidRDefault="000B5EE4" w:rsidP="00017004">
            <w:pPr>
              <w:contextualSpacing/>
              <w:jc w:val="center"/>
              <w:rPr>
                <w:b/>
              </w:rPr>
            </w:pPr>
            <w:r w:rsidRPr="00563E66">
              <w:rPr>
                <w:b/>
              </w:rPr>
              <w:t>85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Default="000B5EE4" w:rsidP="0001700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356BF">
              <w:rPr>
                <w:sz w:val="22"/>
                <w:szCs w:val="22"/>
              </w:rPr>
              <w:t>«Забытые имена Витимской волости»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563E66" w:rsidRDefault="000B5EE4" w:rsidP="00017004">
            <w:pPr>
              <w:contextualSpacing/>
              <w:jc w:val="center"/>
              <w:rPr>
                <w:b/>
              </w:rPr>
            </w:pPr>
            <w:r w:rsidRPr="00563E66">
              <w:rPr>
                <w:b/>
              </w:rPr>
              <w:t>59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Default="000B5EE4" w:rsidP="0001700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356BF">
              <w:rPr>
                <w:sz w:val="22"/>
                <w:szCs w:val="22"/>
              </w:rPr>
              <w:t>Дополнительная образовательная программа «Стрельба из лука»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563E66" w:rsidRDefault="000B5EE4" w:rsidP="00017004">
            <w:pPr>
              <w:contextualSpacing/>
              <w:jc w:val="center"/>
              <w:rPr>
                <w:b/>
              </w:rPr>
            </w:pPr>
            <w:r w:rsidRPr="00563E66">
              <w:rPr>
                <w:b/>
              </w:rPr>
              <w:t>48</w:t>
            </w:r>
          </w:p>
        </w:tc>
      </w:tr>
      <w:tr w:rsidR="000B5EE4" w:rsidRPr="00376E61" w:rsidTr="00017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B5EE4" w:rsidRDefault="000B5EE4" w:rsidP="0001700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B5EE4" w:rsidRPr="00745AB1" w:rsidRDefault="000B5EE4" w:rsidP="00017004">
            <w:pPr>
              <w:jc w:val="center"/>
              <w:rPr>
                <w:sz w:val="22"/>
                <w:szCs w:val="22"/>
              </w:rPr>
            </w:pPr>
            <w:r w:rsidRPr="007356BF">
              <w:rPr>
                <w:sz w:val="22"/>
                <w:szCs w:val="22"/>
              </w:rPr>
              <w:t>«Организация психологической работы с участниками СВО»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B5EE4" w:rsidRPr="002E0F6A" w:rsidRDefault="000B5EE4" w:rsidP="0001700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B5EE4" w:rsidRPr="00563E66" w:rsidRDefault="000B5EE4" w:rsidP="00017004">
            <w:pPr>
              <w:contextualSpacing/>
              <w:jc w:val="center"/>
              <w:rPr>
                <w:b/>
              </w:rPr>
            </w:pPr>
            <w:r w:rsidRPr="00563E66">
              <w:rPr>
                <w:b/>
              </w:rPr>
              <w:t>47</w:t>
            </w:r>
          </w:p>
        </w:tc>
      </w:tr>
    </w:tbl>
    <w:p w:rsidR="000B5EE4" w:rsidRDefault="000B5EE4" w:rsidP="000B5EE4">
      <w:pPr>
        <w:tabs>
          <w:tab w:val="left" w:pos="0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B5EE4" w:rsidRPr="000A2228" w:rsidRDefault="000B5EE4" w:rsidP="000B5EE4">
      <w:pPr>
        <w:pStyle w:val="a9"/>
        <w:numPr>
          <w:ilvl w:val="1"/>
          <w:numId w:val="5"/>
        </w:numPr>
        <w:spacing w:line="360" w:lineRule="auto"/>
        <w:ind w:left="0" w:firstLine="698"/>
        <w:jc w:val="both"/>
        <w:rPr>
          <w:sz w:val="28"/>
        </w:rPr>
      </w:pPr>
      <w:r>
        <w:rPr>
          <w:sz w:val="28"/>
        </w:rPr>
        <w:t>Установить</w:t>
      </w:r>
      <w:r w:rsidRPr="000A2228">
        <w:rPr>
          <w:sz w:val="28"/>
        </w:rPr>
        <w:t xml:space="preserve"> минимальное значение рейтинга заявки, при котором представивший ее заявитель признается победителем конкурса – 100 баллов.</w:t>
      </w:r>
    </w:p>
    <w:p w:rsidR="000B5EE4" w:rsidRDefault="000B5EE4" w:rsidP="000B5EE4">
      <w:pPr>
        <w:spacing w:after="200" w:line="276" w:lineRule="auto"/>
        <w:ind w:firstLine="698"/>
        <w:rPr>
          <w:sz w:val="28"/>
        </w:rPr>
      </w:pPr>
      <w:r>
        <w:rPr>
          <w:sz w:val="28"/>
        </w:rPr>
        <w:br w:type="page"/>
      </w:r>
    </w:p>
    <w:p w:rsidR="000B5EE4" w:rsidRPr="000A2228" w:rsidRDefault="000B5EE4" w:rsidP="000B5EE4">
      <w:pPr>
        <w:pStyle w:val="a9"/>
        <w:numPr>
          <w:ilvl w:val="1"/>
          <w:numId w:val="5"/>
        </w:numPr>
        <w:spacing w:line="360" w:lineRule="auto"/>
        <w:ind w:left="0" w:firstLine="698"/>
        <w:jc w:val="both"/>
        <w:rPr>
          <w:sz w:val="28"/>
        </w:rPr>
      </w:pPr>
      <w:r>
        <w:rPr>
          <w:sz w:val="28"/>
        </w:rPr>
        <w:lastRenderedPageBreak/>
        <w:t xml:space="preserve">Определить следующих получателей </w:t>
      </w:r>
      <w:r w:rsidRPr="000A2228">
        <w:rPr>
          <w:sz w:val="28"/>
        </w:rPr>
        <w:t xml:space="preserve">грантов </w:t>
      </w:r>
      <w:r>
        <w:rPr>
          <w:sz w:val="28"/>
        </w:rPr>
        <w:t>в</w:t>
      </w:r>
      <w:r w:rsidRPr="000A2228">
        <w:rPr>
          <w:sz w:val="28"/>
        </w:rPr>
        <w:t xml:space="preserve"> соответствии с рейтингом заявок:</w:t>
      </w:r>
    </w:p>
    <w:tbl>
      <w:tblPr>
        <w:tblStyle w:val="a3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082"/>
        <w:gridCol w:w="1837"/>
      </w:tblGrid>
      <w:tr w:rsidR="000B5EE4" w:rsidRPr="00AE4E16" w:rsidTr="000170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E4E16" w:rsidRDefault="000B5EE4" w:rsidP="00017004">
            <w:pPr>
              <w:jc w:val="center"/>
            </w:pPr>
            <w:r>
              <w:t>Автор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E4E16" w:rsidRDefault="000B5EE4" w:rsidP="00017004">
            <w:pPr>
              <w:jc w:val="center"/>
            </w:pPr>
            <w:r>
              <w:t>Наименование проекта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AE4E16" w:rsidRDefault="000B5EE4" w:rsidP="00017004">
            <w:pPr>
              <w:jc w:val="center"/>
            </w:pPr>
            <w:r>
              <w:t>Размер гранта</w:t>
            </w:r>
          </w:p>
        </w:tc>
      </w:tr>
      <w:tr w:rsidR="000B5EE4" w:rsidRPr="00AE4E16" w:rsidTr="00017004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Мыреева Наталья Спиридоновна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 w:rsidRPr="00563E66">
              <w:t>«Нравственно патриотическое воспитание через национальный инструмент якутскую скрипку – кырыымпа»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185 000</w:t>
            </w:r>
          </w:p>
        </w:tc>
      </w:tr>
      <w:tr w:rsidR="000B5EE4" w:rsidRPr="00AE4E16" w:rsidTr="00017004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Терешкина Ирина Олеговна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 w:rsidRPr="00563E66">
              <w:t>«Семья героя»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193 500</w:t>
            </w:r>
          </w:p>
        </w:tc>
      </w:tr>
      <w:tr w:rsidR="000B5EE4" w:rsidRPr="00AE4E16" w:rsidTr="00017004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Уваровская Татьяна Игоревна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 w:rsidRPr="00563E66">
              <w:t>«Экспозиция школьного музея посвящённая погибшим участникам СВО»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151 500</w:t>
            </w:r>
          </w:p>
        </w:tc>
      </w:tr>
      <w:tr w:rsidR="000B5EE4" w:rsidRPr="00AE4E16" w:rsidTr="00017004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 xml:space="preserve">Тарбаева Елена Федотовна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  <w:rPr>
                <w:rFonts w:eastAsia="Calibri"/>
              </w:rPr>
            </w:pPr>
            <w:r w:rsidRPr="00563E66">
              <w:rPr>
                <w:rFonts w:eastAsia="Calibri"/>
              </w:rPr>
              <w:t>«История отечества в лицах»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4" w:rsidRPr="00497515" w:rsidRDefault="000B5EE4" w:rsidP="00017004">
            <w:pPr>
              <w:jc w:val="center"/>
            </w:pPr>
            <w:r>
              <w:t>50 718</w:t>
            </w:r>
          </w:p>
        </w:tc>
      </w:tr>
    </w:tbl>
    <w:p w:rsidR="000B5EE4" w:rsidRDefault="000B5EE4" w:rsidP="000B5EE4">
      <w:pPr>
        <w:contextualSpacing/>
        <w:jc w:val="both"/>
        <w:rPr>
          <w:sz w:val="28"/>
          <w:szCs w:val="28"/>
        </w:rPr>
      </w:pPr>
    </w:p>
    <w:p w:rsidR="000B5EE4" w:rsidRPr="000A2228" w:rsidRDefault="000B5EE4" w:rsidP="000B5EE4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2228">
        <w:rPr>
          <w:sz w:val="28"/>
          <w:szCs w:val="28"/>
        </w:rPr>
        <w:t xml:space="preserve">Продлить срок реализации проекта Старченковой К.В. по соглашению </w:t>
      </w:r>
      <w:r>
        <w:rPr>
          <w:sz w:val="28"/>
          <w:szCs w:val="28"/>
        </w:rPr>
        <w:t>№</w:t>
      </w:r>
      <w:r w:rsidRPr="000A2228">
        <w:rPr>
          <w:sz w:val="28"/>
          <w:szCs w:val="28"/>
        </w:rPr>
        <w:t xml:space="preserve">01-22-29/23 </w:t>
      </w:r>
      <w:r>
        <w:rPr>
          <w:sz w:val="28"/>
          <w:szCs w:val="28"/>
        </w:rPr>
        <w:t>от</w:t>
      </w:r>
      <w:r w:rsidRPr="000A2228">
        <w:rPr>
          <w:sz w:val="28"/>
          <w:szCs w:val="28"/>
        </w:rPr>
        <w:t xml:space="preserve"> 03.11.2023</w:t>
      </w:r>
      <w:r>
        <w:rPr>
          <w:sz w:val="28"/>
          <w:szCs w:val="28"/>
        </w:rPr>
        <w:t xml:space="preserve"> г.</w:t>
      </w:r>
      <w:r w:rsidRPr="000A2228">
        <w:rPr>
          <w:sz w:val="28"/>
          <w:szCs w:val="28"/>
        </w:rPr>
        <w:t xml:space="preserve"> </w:t>
      </w:r>
      <w:r>
        <w:rPr>
          <w:sz w:val="28"/>
          <w:szCs w:val="28"/>
        </w:rPr>
        <w:t>до 01.06.2025 г. со сроком сдачи отчетности до 01.07.2025 г.</w:t>
      </w:r>
    </w:p>
    <w:p w:rsidR="000B5EE4" w:rsidRDefault="000B5EE4" w:rsidP="000B5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Секретарю комиссии (Севостьянова Т.Н.) внести изменения в порядок </w:t>
      </w:r>
      <w:r w:rsidRPr="00964B8F">
        <w:rPr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 - добавить пункт об очной защите проектов заявителями, в срок до 31.12.2024 г.</w:t>
      </w:r>
    </w:p>
    <w:p w:rsidR="000B5EE4" w:rsidRPr="00EC156B" w:rsidRDefault="000B5EE4" w:rsidP="000B5EE4">
      <w:pPr>
        <w:ind w:firstLine="709"/>
        <w:jc w:val="both"/>
        <w:rPr>
          <w:sz w:val="28"/>
          <w:szCs w:val="28"/>
        </w:rPr>
      </w:pPr>
    </w:p>
    <w:p w:rsidR="000B5EE4" w:rsidRDefault="000B5EE4" w:rsidP="00452765">
      <w:pPr>
        <w:jc w:val="center"/>
        <w:rPr>
          <w:b/>
          <w:sz w:val="28"/>
          <w:szCs w:val="28"/>
        </w:rPr>
      </w:pPr>
    </w:p>
    <w:p w:rsidR="000B5EE4" w:rsidRDefault="000B5EE4" w:rsidP="00452765">
      <w:pPr>
        <w:jc w:val="center"/>
        <w:rPr>
          <w:b/>
          <w:sz w:val="28"/>
          <w:szCs w:val="28"/>
        </w:rPr>
      </w:pPr>
    </w:p>
    <w:p w:rsidR="000B5EE4" w:rsidRDefault="000B5EE4" w:rsidP="00452765">
      <w:pPr>
        <w:jc w:val="center"/>
        <w:rPr>
          <w:b/>
          <w:sz w:val="28"/>
          <w:szCs w:val="28"/>
        </w:rPr>
      </w:pPr>
    </w:p>
    <w:p w:rsidR="000B5EE4" w:rsidRDefault="000B5EE4" w:rsidP="00452765">
      <w:pPr>
        <w:jc w:val="center"/>
        <w:rPr>
          <w:b/>
          <w:sz w:val="28"/>
          <w:szCs w:val="28"/>
        </w:rPr>
      </w:pPr>
    </w:p>
    <w:p w:rsidR="000B5EE4" w:rsidRPr="00452765" w:rsidRDefault="000B5EE4" w:rsidP="00452765">
      <w:pPr>
        <w:jc w:val="center"/>
        <w:rPr>
          <w:b/>
          <w:sz w:val="28"/>
          <w:szCs w:val="28"/>
        </w:rPr>
      </w:pPr>
    </w:p>
    <w:p w:rsidR="00452765" w:rsidRPr="00452765" w:rsidRDefault="00452765" w:rsidP="0045276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9"/>
        <w:gridCol w:w="5002"/>
      </w:tblGrid>
      <w:tr w:rsidR="00452765" w:rsidRPr="00452765" w:rsidTr="00AE21F9">
        <w:tc>
          <w:tcPr>
            <w:tcW w:w="4569" w:type="dxa"/>
            <w:hideMark/>
          </w:tcPr>
          <w:p w:rsidR="00452765" w:rsidRPr="00452765" w:rsidRDefault="00452765" w:rsidP="00AE21F9">
            <w:pPr>
              <w:rPr>
                <w:b/>
                <w:sz w:val="28"/>
                <w:szCs w:val="28"/>
              </w:rPr>
            </w:pPr>
            <w:r w:rsidRPr="00452765">
              <w:rPr>
                <w:b/>
                <w:sz w:val="28"/>
                <w:szCs w:val="28"/>
              </w:rPr>
              <w:t>Председатель МКУ «</w:t>
            </w:r>
            <w:r w:rsidR="000B5EE4">
              <w:rPr>
                <w:b/>
                <w:sz w:val="28"/>
                <w:szCs w:val="28"/>
              </w:rPr>
              <w:t>КМСП»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  <w:hideMark/>
          </w:tcPr>
          <w:p w:rsidR="00346477" w:rsidRPr="00346477" w:rsidRDefault="00346477" w:rsidP="00346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346477">
              <w:rPr>
                <w:b/>
                <w:sz w:val="28"/>
                <w:szCs w:val="28"/>
              </w:rPr>
              <w:t>Т.И. Великодная</w:t>
            </w:r>
          </w:p>
          <w:p w:rsidR="00452765" w:rsidRPr="00452765" w:rsidRDefault="00452765" w:rsidP="00346477">
            <w:pPr>
              <w:rPr>
                <w:b/>
                <w:sz w:val="28"/>
                <w:szCs w:val="28"/>
              </w:rPr>
            </w:pPr>
          </w:p>
        </w:tc>
      </w:tr>
    </w:tbl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Default="000B5EE4" w:rsidP="004378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6477" w:rsidRDefault="00346477" w:rsidP="004378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78F8" w:rsidRDefault="004378F8" w:rsidP="004378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3F6B" w:rsidRPr="00AE7B3C" w:rsidRDefault="00353F6B" w:rsidP="00353F6B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№2</w:t>
      </w:r>
    </w:p>
    <w:p w:rsidR="00353F6B" w:rsidRPr="00AE7B3C" w:rsidRDefault="00353F6B" w:rsidP="00353F6B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>к ра</w:t>
      </w:r>
      <w:r w:rsidRPr="00AE7B3C">
        <w:rPr>
          <w:iCs/>
          <w:sz w:val="28"/>
          <w:szCs w:val="28"/>
        </w:rPr>
        <w:lastRenderedPageBreak/>
        <w:t>споряжению</w:t>
      </w:r>
      <w:r w:rsidRPr="000351A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и.о.</w:t>
      </w:r>
      <w:r w:rsidRPr="00AE7B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главы</w:t>
      </w:r>
    </w:p>
    <w:p w:rsidR="00353F6B" w:rsidRPr="00AE7B3C" w:rsidRDefault="00353F6B" w:rsidP="00353F6B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>«_</w:t>
      </w:r>
      <w:r w:rsidR="005112ED">
        <w:rPr>
          <w:iCs/>
          <w:sz w:val="28"/>
          <w:szCs w:val="28"/>
          <w:u w:val="single"/>
        </w:rPr>
        <w:t>25</w:t>
      </w:r>
      <w:r w:rsidRPr="00AE7B3C">
        <w:rPr>
          <w:iCs/>
          <w:sz w:val="28"/>
          <w:szCs w:val="28"/>
        </w:rPr>
        <w:t>» _</w:t>
      </w:r>
      <w:r w:rsidR="005112ED">
        <w:rPr>
          <w:iCs/>
          <w:sz w:val="28"/>
          <w:szCs w:val="28"/>
          <w:u w:val="single"/>
        </w:rPr>
        <w:t>октября</w:t>
      </w:r>
      <w:r>
        <w:rPr>
          <w:iCs/>
          <w:sz w:val="28"/>
          <w:szCs w:val="28"/>
        </w:rPr>
        <w:t>____</w:t>
      </w:r>
      <w:r w:rsidRPr="00AE7B3C">
        <w:rPr>
          <w:iCs/>
          <w:sz w:val="28"/>
          <w:szCs w:val="28"/>
        </w:rPr>
        <w:t>202</w:t>
      </w:r>
      <w:r w:rsidR="004378F8">
        <w:rPr>
          <w:iCs/>
          <w:sz w:val="28"/>
          <w:szCs w:val="28"/>
        </w:rPr>
        <w:t>4</w:t>
      </w:r>
      <w:r w:rsidRPr="00AE7B3C">
        <w:rPr>
          <w:iCs/>
          <w:sz w:val="28"/>
          <w:szCs w:val="28"/>
        </w:rPr>
        <w:t xml:space="preserve"> г.</w:t>
      </w:r>
    </w:p>
    <w:p w:rsidR="00353F6B" w:rsidRPr="00AE7B3C" w:rsidRDefault="00353F6B" w:rsidP="00353F6B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</w:t>
      </w:r>
      <w:r w:rsidR="005112ED">
        <w:rPr>
          <w:iCs/>
          <w:sz w:val="28"/>
          <w:szCs w:val="28"/>
          <w:u w:val="single"/>
        </w:rPr>
        <w:t>01-04-2340/4</w:t>
      </w:r>
      <w:bookmarkStart w:id="2" w:name="_GoBack"/>
      <w:bookmarkEnd w:id="2"/>
      <w:r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lastRenderedPageBreak/>
        <w:t>____</w:t>
      </w:r>
    </w:p>
    <w:p w:rsidR="00353F6B" w:rsidRDefault="00353F6B" w:rsidP="00353F6B">
      <w:pPr>
        <w:jc w:val="center"/>
        <w:rPr>
          <w:b/>
          <w:sz w:val="28"/>
          <w:szCs w:val="28"/>
        </w:rPr>
      </w:pPr>
    </w:p>
    <w:p w:rsidR="00353F6B" w:rsidRDefault="00353F6B" w:rsidP="00353F6B">
      <w:pPr>
        <w:jc w:val="center"/>
        <w:rPr>
          <w:b/>
          <w:sz w:val="28"/>
          <w:szCs w:val="28"/>
        </w:rPr>
      </w:pPr>
    </w:p>
    <w:p w:rsidR="00353F6B" w:rsidRDefault="00353F6B" w:rsidP="00353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получателей грантов</w:t>
      </w:r>
    </w:p>
    <w:p w:rsidR="00353F6B" w:rsidRDefault="00353F6B" w:rsidP="00353F6B">
      <w:pPr>
        <w:jc w:val="center"/>
        <w:rPr>
          <w:b/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861"/>
        <w:gridCol w:w="2973"/>
      </w:tblGrid>
      <w:tr w:rsidR="00353F6B" w:rsidTr="00017004">
        <w:tc>
          <w:tcPr>
            <w:tcW w:w="484" w:type="dxa"/>
          </w:tcPr>
          <w:p w:rsidR="00353F6B" w:rsidRPr="003D1A5F" w:rsidRDefault="00353F6B" w:rsidP="000170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</w:tcPr>
          <w:p w:rsidR="00353F6B" w:rsidRPr="003D1A5F" w:rsidRDefault="00353F6B" w:rsidP="000170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2973" w:type="dxa"/>
          </w:tcPr>
          <w:p w:rsidR="00353F6B" w:rsidRPr="003D1A5F" w:rsidRDefault="00353F6B" w:rsidP="000170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Размер гранта, руб.</w:t>
            </w:r>
          </w:p>
        </w:tc>
      </w:tr>
      <w:tr w:rsidR="00353F6B" w:rsidTr="00017004">
        <w:tc>
          <w:tcPr>
            <w:tcW w:w="484" w:type="dxa"/>
            <w:vAlign w:val="center"/>
          </w:tcPr>
          <w:p w:rsidR="00353F6B" w:rsidRPr="003D1A5F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1.</w:t>
            </w:r>
          </w:p>
        </w:tc>
        <w:tc>
          <w:tcPr>
            <w:tcW w:w="5861" w:type="dxa"/>
          </w:tcPr>
          <w:p w:rsidR="00353F6B" w:rsidRPr="00200AFE" w:rsidRDefault="00353F6B" w:rsidP="0001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Мыреева Наталья Спиридоновна</w:t>
            </w:r>
          </w:p>
        </w:tc>
        <w:tc>
          <w:tcPr>
            <w:tcW w:w="2973" w:type="dxa"/>
            <w:vAlign w:val="center"/>
          </w:tcPr>
          <w:p w:rsidR="00353F6B" w:rsidRPr="00200AFE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4378F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4378F8">
              <w:rPr>
                <w:sz w:val="28"/>
                <w:szCs w:val="28"/>
              </w:rPr>
              <w:t>, 00</w:t>
            </w:r>
          </w:p>
        </w:tc>
      </w:tr>
      <w:tr w:rsidR="00353F6B" w:rsidTr="00017004">
        <w:tc>
          <w:tcPr>
            <w:tcW w:w="484" w:type="dxa"/>
            <w:vAlign w:val="center"/>
          </w:tcPr>
          <w:p w:rsidR="00353F6B" w:rsidRPr="003D1A5F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2.</w:t>
            </w:r>
          </w:p>
        </w:tc>
        <w:tc>
          <w:tcPr>
            <w:tcW w:w="5861" w:type="dxa"/>
          </w:tcPr>
          <w:p w:rsidR="00353F6B" w:rsidRPr="00200AFE" w:rsidRDefault="00353F6B" w:rsidP="0001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Терешкина Ирина Олеговна</w:t>
            </w:r>
          </w:p>
        </w:tc>
        <w:tc>
          <w:tcPr>
            <w:tcW w:w="2973" w:type="dxa"/>
            <w:vAlign w:val="center"/>
          </w:tcPr>
          <w:p w:rsidR="00353F6B" w:rsidRPr="00200AFE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="004378F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500</w:t>
            </w:r>
            <w:r w:rsidR="004378F8">
              <w:rPr>
                <w:sz w:val="28"/>
                <w:szCs w:val="28"/>
              </w:rPr>
              <w:t>, 00</w:t>
            </w:r>
          </w:p>
        </w:tc>
      </w:tr>
      <w:tr w:rsidR="00353F6B" w:rsidTr="00017004">
        <w:tc>
          <w:tcPr>
            <w:tcW w:w="484" w:type="dxa"/>
            <w:vAlign w:val="center"/>
          </w:tcPr>
          <w:p w:rsidR="00353F6B" w:rsidRPr="003D1A5F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3.</w:t>
            </w:r>
          </w:p>
        </w:tc>
        <w:tc>
          <w:tcPr>
            <w:tcW w:w="5861" w:type="dxa"/>
          </w:tcPr>
          <w:p w:rsidR="00353F6B" w:rsidRPr="00200AFE" w:rsidRDefault="00353F6B" w:rsidP="0001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Уваровская Татьяна Игоревна</w:t>
            </w:r>
          </w:p>
        </w:tc>
        <w:tc>
          <w:tcPr>
            <w:tcW w:w="2973" w:type="dxa"/>
            <w:vAlign w:val="center"/>
          </w:tcPr>
          <w:p w:rsidR="00353F6B" w:rsidRPr="00200AFE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151</w:t>
            </w:r>
            <w:r w:rsidR="004378F8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500</w:t>
            </w:r>
            <w:r w:rsidR="004378F8">
              <w:rPr>
                <w:rFonts w:eastAsia="Calibri"/>
                <w:sz w:val="28"/>
                <w:szCs w:val="28"/>
              </w:rPr>
              <w:t>, 00</w:t>
            </w:r>
          </w:p>
        </w:tc>
      </w:tr>
      <w:tr w:rsidR="00353F6B" w:rsidTr="00017004">
        <w:tc>
          <w:tcPr>
            <w:tcW w:w="484" w:type="dxa"/>
            <w:vAlign w:val="center"/>
          </w:tcPr>
          <w:p w:rsidR="00353F6B" w:rsidRPr="003D1A5F" w:rsidRDefault="00353F6B" w:rsidP="000170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1" w:type="dxa"/>
          </w:tcPr>
          <w:p w:rsidR="00353F6B" w:rsidRPr="00200AFE" w:rsidRDefault="00353F6B" w:rsidP="0001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Тарбаева Елена Федотовна</w:t>
            </w:r>
          </w:p>
        </w:tc>
        <w:tc>
          <w:tcPr>
            <w:tcW w:w="2973" w:type="dxa"/>
            <w:vAlign w:val="center"/>
          </w:tcPr>
          <w:p w:rsidR="00353F6B" w:rsidRPr="00200AFE" w:rsidRDefault="00353F6B" w:rsidP="004378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  <w:r w:rsidR="004378F8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718</w:t>
            </w:r>
            <w:r w:rsidR="004378F8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353F6B" w:rsidTr="00017004">
        <w:tc>
          <w:tcPr>
            <w:tcW w:w="6345" w:type="dxa"/>
            <w:gridSpan w:val="2"/>
            <w:vAlign w:val="center"/>
          </w:tcPr>
          <w:p w:rsidR="00353F6B" w:rsidRPr="003D1A5F" w:rsidRDefault="00353F6B" w:rsidP="0001700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D1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3" w:type="dxa"/>
            <w:vAlign w:val="center"/>
          </w:tcPr>
          <w:p w:rsidR="00353F6B" w:rsidRPr="003D1A5F" w:rsidRDefault="00353F6B" w:rsidP="0001700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580 718 рублей.</w:t>
            </w:r>
          </w:p>
        </w:tc>
      </w:tr>
    </w:tbl>
    <w:p w:rsidR="00353F6B" w:rsidRDefault="00353F6B" w:rsidP="00353F6B">
      <w:pPr>
        <w:jc w:val="both"/>
        <w:rPr>
          <w:sz w:val="28"/>
          <w:szCs w:val="28"/>
        </w:rPr>
      </w:pPr>
    </w:p>
    <w:p w:rsidR="00353F6B" w:rsidRDefault="00353F6B" w:rsidP="00353F6B">
      <w:pPr>
        <w:rPr>
          <w:sz w:val="28"/>
          <w:szCs w:val="28"/>
        </w:rPr>
      </w:pPr>
    </w:p>
    <w:p w:rsidR="00353F6B" w:rsidRDefault="00353F6B" w:rsidP="00353F6B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3F6B" w:rsidRDefault="00353F6B" w:rsidP="00353F6B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46477" w:rsidRPr="00346477" w:rsidRDefault="00353F6B" w:rsidP="00346477">
      <w:pPr>
        <w:rPr>
          <w:b/>
          <w:sz w:val="28"/>
          <w:szCs w:val="28"/>
        </w:rPr>
      </w:pPr>
      <w:r w:rsidRPr="00452765">
        <w:rPr>
          <w:b/>
          <w:sz w:val="28"/>
          <w:szCs w:val="28"/>
        </w:rPr>
        <w:t>Председатель МКУ «</w:t>
      </w:r>
      <w:r>
        <w:rPr>
          <w:b/>
          <w:sz w:val="28"/>
          <w:szCs w:val="28"/>
        </w:rPr>
        <w:t>КМСП»</w:t>
      </w:r>
      <w:r w:rsidR="00346477">
        <w:rPr>
          <w:b/>
          <w:sz w:val="28"/>
          <w:szCs w:val="28"/>
        </w:rPr>
        <w:t xml:space="preserve">                                                  </w:t>
      </w:r>
      <w:r w:rsidR="00346477" w:rsidRPr="00346477">
        <w:rPr>
          <w:b/>
          <w:sz w:val="28"/>
          <w:szCs w:val="28"/>
        </w:rPr>
        <w:t>Т.И. Великодная</w:t>
      </w:r>
    </w:p>
    <w:p w:rsidR="00353F6B" w:rsidRPr="00452765" w:rsidRDefault="00353F6B" w:rsidP="00353F6B">
      <w:pPr>
        <w:rPr>
          <w:b/>
          <w:sz w:val="28"/>
          <w:szCs w:val="28"/>
        </w:rPr>
      </w:pPr>
    </w:p>
    <w:p w:rsidR="00353F6B" w:rsidRPr="00452765" w:rsidRDefault="004378F8" w:rsidP="0035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3F6B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</w:t>
      </w:r>
    </w:p>
    <w:p w:rsidR="00353F6B" w:rsidRPr="00452765" w:rsidRDefault="00353F6B" w:rsidP="00353F6B">
      <w:pPr>
        <w:rPr>
          <w:sz w:val="28"/>
          <w:szCs w:val="28"/>
        </w:rPr>
      </w:pPr>
    </w:p>
    <w:p w:rsidR="00353F6B" w:rsidRPr="00200AFE" w:rsidRDefault="00353F6B" w:rsidP="00353F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0B5EE4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EE4" w:rsidRPr="00452765" w:rsidRDefault="000B5EE4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5EE4" w:rsidRP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F3FE9"/>
    <w:multiLevelType w:val="multilevel"/>
    <w:tmpl w:val="E9305ECC"/>
    <w:lvl w:ilvl="0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5" w:hanging="2160"/>
      </w:pPr>
      <w:rPr>
        <w:rFonts w:hint="default"/>
      </w:rPr>
    </w:lvl>
  </w:abstractNum>
  <w:abstractNum w:abstractNumId="2" w15:restartNumberingAfterBreak="0">
    <w:nsid w:val="67FA1E3A"/>
    <w:multiLevelType w:val="multilevel"/>
    <w:tmpl w:val="AFE0B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87EBD"/>
    <w:multiLevelType w:val="hybridMultilevel"/>
    <w:tmpl w:val="A30EBAB6"/>
    <w:lvl w:ilvl="0" w:tplc="8BFEF0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B5EE4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46477"/>
    <w:rsid w:val="00353F6B"/>
    <w:rsid w:val="00373214"/>
    <w:rsid w:val="003E4EC5"/>
    <w:rsid w:val="004036B7"/>
    <w:rsid w:val="00416C9F"/>
    <w:rsid w:val="00417945"/>
    <w:rsid w:val="00420649"/>
    <w:rsid w:val="004378F8"/>
    <w:rsid w:val="0044216C"/>
    <w:rsid w:val="00452765"/>
    <w:rsid w:val="00460CF4"/>
    <w:rsid w:val="0048200F"/>
    <w:rsid w:val="004A2052"/>
    <w:rsid w:val="004B3F6A"/>
    <w:rsid w:val="00504E2E"/>
    <w:rsid w:val="005058DA"/>
    <w:rsid w:val="005112ED"/>
    <w:rsid w:val="00553CB7"/>
    <w:rsid w:val="00566C38"/>
    <w:rsid w:val="005876E7"/>
    <w:rsid w:val="005A2850"/>
    <w:rsid w:val="005A4FB8"/>
    <w:rsid w:val="005B00ED"/>
    <w:rsid w:val="005D12DB"/>
    <w:rsid w:val="005D162A"/>
    <w:rsid w:val="005F5CD8"/>
    <w:rsid w:val="00620E25"/>
    <w:rsid w:val="00624E15"/>
    <w:rsid w:val="00630CA4"/>
    <w:rsid w:val="00681383"/>
    <w:rsid w:val="006C620F"/>
    <w:rsid w:val="007023A6"/>
    <w:rsid w:val="007521EC"/>
    <w:rsid w:val="00753653"/>
    <w:rsid w:val="00762B45"/>
    <w:rsid w:val="00793639"/>
    <w:rsid w:val="007A2A22"/>
    <w:rsid w:val="00826757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D32A5"/>
    <w:rsid w:val="00BE48D2"/>
    <w:rsid w:val="00C128FD"/>
    <w:rsid w:val="00C166F5"/>
    <w:rsid w:val="00CA176F"/>
    <w:rsid w:val="00CB376D"/>
    <w:rsid w:val="00D12DE3"/>
    <w:rsid w:val="00D1483C"/>
    <w:rsid w:val="00D37E19"/>
    <w:rsid w:val="00D47F5B"/>
    <w:rsid w:val="00D61344"/>
    <w:rsid w:val="00DC390D"/>
    <w:rsid w:val="00E20164"/>
    <w:rsid w:val="00E3112B"/>
    <w:rsid w:val="00E5745B"/>
    <w:rsid w:val="00E938C3"/>
    <w:rsid w:val="00ED7029"/>
    <w:rsid w:val="00EE5191"/>
    <w:rsid w:val="00EE5D66"/>
    <w:rsid w:val="00F461A9"/>
    <w:rsid w:val="00F4697C"/>
    <w:rsid w:val="00F63E0F"/>
    <w:rsid w:val="00F73534"/>
    <w:rsid w:val="00F74986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2F0B"/>
  <w15:docId w15:val="{13B1FB8E-8B5B-4A09-9690-CB6834F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0B5EE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7</Pages>
  <Words>1145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2024-10-22T02:26:00Z</cp:lastPrinted>
  <dcterms:created xsi:type="dcterms:W3CDTF">2024-10-25T04:37:00Z</dcterms:created>
  <dcterms:modified xsi:type="dcterms:W3CDTF">2024-10-25T04:37:00Z</dcterms:modified>
</cp:coreProperties>
</file>