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Представляем Вашему вниманию принятые изменения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 xml:space="preserve"> федеральные и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региональные законо</w:t>
      </w:r>
      <w:bookmarkStart w:id="0" w:name="_GoBack"/>
      <w:bookmarkEnd w:id="0"/>
      <w:r w:rsidRPr="007B3AE4">
        <w:rPr>
          <w:rFonts w:ascii="Times New Roman" w:hAnsi="Times New Roman" w:cs="Times New Roman"/>
          <w:sz w:val="28"/>
          <w:szCs w:val="28"/>
        </w:rPr>
        <w:t xml:space="preserve">дательства в области охоты и сохранения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охотничьих</w:t>
      </w:r>
      <w:proofErr w:type="gram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ресурсов за 2024 год.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Федеральный закон от 19.12.2023 № 617-ФЗ «О внесении изменений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в Федеральный закон «Об охоте и о сохранении охотничьих ресурсов и о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внесении изменений в отдельные законодательные акты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Федерации» и статью 44 Федерального закона «Об общих принципах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организации публичной власти в субъектах Российской Федерации».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Нововведения устанавливают, что с 1 сентября 2025 года вводится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обязательный экзамен для получения охотничьего билета: граждане, получающие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билет впервые или повторно (после аннулирования), должны будут сдать экзамен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на знание охотничьего минимума.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Подписанный закон вводит понятие «охотничьего минимума» и дает ему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определение – набор знаний и навыков, необходимых для охоты. </w:t>
      </w:r>
      <w:proofErr w:type="spellStart"/>
      <w:r w:rsidRPr="007B3AE4">
        <w:rPr>
          <w:rFonts w:ascii="Times New Roman" w:hAnsi="Times New Roman" w:cs="Times New Roman"/>
          <w:sz w:val="28"/>
          <w:szCs w:val="28"/>
        </w:rPr>
        <w:t>Охотминимум</w:t>
      </w:r>
      <w:proofErr w:type="spell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включает: знание требований безопасности на охоте, знание ограничений охоты,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знание основ биологии диких животных. При сдаче экзамена охотник должен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будет продемонстрировать практические навыки безопасного обращения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охотничьим оружием, ориентирования на местности и обращения с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добытыми</w:t>
      </w:r>
      <w:proofErr w:type="gram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охотничьими ресурсами.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Проверять знания и навыки будут региональные органы власти,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уполномоченные в области охоты, которые также будут утверждать перечень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lastRenderedPageBreak/>
        <w:t xml:space="preserve">вопросов и содержание ответов для экзамена.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Планируется формат теста (от 100</w:t>
      </w:r>
      <w:proofErr w:type="gram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до 200 вопросов). Перечень вопросов будет публиковаться в </w:t>
      </w:r>
      <w:proofErr w:type="spellStart"/>
      <w:r w:rsidRPr="007B3AE4">
        <w:rPr>
          <w:rFonts w:ascii="Times New Roman" w:hAnsi="Times New Roman" w:cs="Times New Roman"/>
          <w:sz w:val="28"/>
          <w:szCs w:val="28"/>
        </w:rPr>
        <w:t>Интернете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>каждом</w:t>
      </w:r>
      <w:proofErr w:type="spell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AE4">
        <w:rPr>
          <w:rFonts w:ascii="Times New Roman" w:hAnsi="Times New Roman" w:cs="Times New Roman"/>
          <w:sz w:val="28"/>
          <w:szCs w:val="28"/>
        </w:rPr>
        <w:t>регионе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 xml:space="preserve"> создадут экзаменационную комиссию, которая будет проверять знания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требований </w:t>
      </w:r>
      <w:proofErr w:type="spellStart"/>
      <w:r w:rsidRPr="007B3AE4">
        <w:rPr>
          <w:rFonts w:ascii="Times New Roman" w:hAnsi="Times New Roman" w:cs="Times New Roman"/>
          <w:sz w:val="28"/>
          <w:szCs w:val="28"/>
        </w:rPr>
        <w:t>охотминимума</w:t>
      </w:r>
      <w:proofErr w:type="spellEnd"/>
      <w:r w:rsidRPr="007B3AE4">
        <w:rPr>
          <w:rFonts w:ascii="Times New Roman" w:hAnsi="Times New Roman" w:cs="Times New Roman"/>
          <w:sz w:val="28"/>
          <w:szCs w:val="28"/>
        </w:rPr>
        <w:t>. При этом порядок проведения экзамена и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определения его результатов установит Правительство РФ.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Охотничий билет будет выдаваться в электронном виде, но его можно будет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получить и на бумажном носителе, указав на соответствующую необходимость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при подаче заявления. Устанавливается, что региональный орган власти в течение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пяти рабочих дней должен выдать охотничий билет и внести информацию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выдаче в государственный хозяйственный реестр.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Также в соответствии с новым законом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 xml:space="preserve"> государственная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информационная система управления в области охоты и сохранения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охотничьих</w:t>
      </w:r>
      <w:proofErr w:type="gram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ресурсов, определены цели ее создания, задачи, состав информации и порядок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предоставления сведений. Нормативные правовые акты, необходимые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создания и функционирования этой информационной системы, примет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Правительство РФ.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Закон вступает в силу с 1 сентября 2025 года, при этом, нормы о выдаче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электронного билета и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 xml:space="preserve"> ГИС вступят в силу с 1 января 2025 года.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Приказ Минприроды России от 24.09.2024 г. № 579 «Об утверждении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порядка выдачи и аннулирования охотничьего билета, формы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lastRenderedPageBreak/>
        <w:t>охотничьего билета».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С 1 января 2025 года вступил в силу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 xml:space="preserve"> в соответствии с которым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охотничий билет выдаётся в форме электронного документа.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В дополнение к электронному охотничьему билету заявитель может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получить охотничий билет на бумажном носителе, имеющий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равную</w:t>
      </w:r>
      <w:proofErr w:type="gram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юридическую силу с охотничьим билетом, выданным в форме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электронного</w:t>
      </w:r>
      <w:proofErr w:type="gram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документа. Для этого в заявлении на получение охотничьего билета нужно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указать информацию о необходимости получения охотничьего билета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бумажном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носителе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>.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Охотничий билет в форме электронного документа в день его выдачи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направляется в личный кабинет заявителя на Едином портале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(функций).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Подать заявление на получение охотничьего билета можно несколькими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способами: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AE4">
        <w:rPr>
          <w:rFonts w:ascii="Times New Roman" w:hAnsi="Times New Roman" w:cs="Times New Roman"/>
          <w:sz w:val="28"/>
          <w:szCs w:val="28"/>
        </w:rPr>
        <w:t>- на Едином портале государственных и муниципальных услуг (далее —</w:t>
      </w:r>
      <w:proofErr w:type="gram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AE4">
        <w:rPr>
          <w:rFonts w:ascii="Times New Roman" w:hAnsi="Times New Roman" w:cs="Times New Roman"/>
          <w:sz w:val="28"/>
          <w:szCs w:val="28"/>
        </w:rPr>
        <w:t xml:space="preserve">Портал </w:t>
      </w:r>
      <w:proofErr w:type="spellStart"/>
      <w:r w:rsidRPr="007B3AE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B3AE4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 xml:space="preserve"> чтобы воспользоваться данной услугой в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электронной форме, необходимо иметь подтвержденную учетную запись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пользователя на Портале </w:t>
      </w:r>
      <w:proofErr w:type="spellStart"/>
      <w:r w:rsidRPr="007B3AE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B3AE4">
        <w:rPr>
          <w:rFonts w:ascii="Times New Roman" w:hAnsi="Times New Roman" w:cs="Times New Roman"/>
          <w:sz w:val="28"/>
          <w:szCs w:val="28"/>
        </w:rPr>
        <w:t>.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- в Многофункциональном центре предоставления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муниципальных услуг («Мои документы»);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- лично в уполномоченный орган.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Напоминаем, что охотничий билет выдаётся физическим лицам,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AE4">
        <w:rPr>
          <w:rFonts w:ascii="Times New Roman" w:hAnsi="Times New Roman" w:cs="Times New Roman"/>
          <w:sz w:val="28"/>
          <w:szCs w:val="28"/>
        </w:rPr>
        <w:t>обладающим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 xml:space="preserve"> гражданской дееспособностью в соответствии с гражданским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законодательством, не имеющим непогашенной или неснятой судимости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совершение умышленного преступления и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ознакомившимся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 xml:space="preserve"> с требованиями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lastRenderedPageBreak/>
        <w:t>охотничьего минимума.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При подаче заявления на получение охотничьего билета через МФЦ или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при личном посещении к заявлению необходимо приложить 2 фотографии 3х4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AE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>, а также иметь при себе паспорт и СНИЛС.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В случае направления заявления о выдаче охотничьего билета в форме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электронного документа посредством Портала </w:t>
      </w:r>
      <w:proofErr w:type="spellStart"/>
      <w:r w:rsidRPr="007B3AE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B3AE4">
        <w:rPr>
          <w:rFonts w:ascii="Times New Roman" w:hAnsi="Times New Roman" w:cs="Times New Roman"/>
          <w:sz w:val="28"/>
          <w:szCs w:val="28"/>
        </w:rPr>
        <w:t xml:space="preserve"> личная фотография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прикрепляется к нему в виде электронного файла.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 xml:space="preserve"> обращаем внимание охотников, что охотничьи билеты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AE4">
        <w:rPr>
          <w:rFonts w:ascii="Times New Roman" w:hAnsi="Times New Roman" w:cs="Times New Roman"/>
          <w:sz w:val="28"/>
          <w:szCs w:val="28"/>
        </w:rPr>
        <w:t>выданные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 xml:space="preserve"> до 1 января 2025 года являются действующими и замене не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подлежат.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29 августа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2024 г. N 1172 "О государственной информационной системе управления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в области охоты и сохранения охотничьих ресурсов". (ФГИС «Охота»)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Создание ФГИС «Охота» позволит: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- повысить эффективность и прозрачность государственного управления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в области охоты и сохранения охотничьих ресурсов;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- обеспечить взаимодействие федеральных органов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исполнительной</w:t>
      </w:r>
      <w:proofErr w:type="gram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власти Российской Федерации и органов государственной власти субъектов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Российской Федерации с юридическими лицами и индивидуальными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предпринимателями, осуществляющими виды деятельности в области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охотничьего хозяйства, а также обеспечить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своевременное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 xml:space="preserve"> и комплексное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информирование юридических и физических лиц о состоянии охотничьих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ресурсов и среды их обитания;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- автоматизировать комплекс мероприятий, направленных на сбор,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накопление, передачу, хранение, защиту, обработку, поиск, преобразование и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информации в области охоты и сохранения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охотничьих</w:t>
      </w:r>
      <w:proofErr w:type="gram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ресурсов органам государственной власти, органам местного самоуправления,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юридическим лицам для выполнения ими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 xml:space="preserve"> функциональных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обязанностей и в виде предоставления услуг по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информационному</w:t>
      </w:r>
      <w:proofErr w:type="gram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обеспечению для физических лиц;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- повысить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информационное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 xml:space="preserve"> обеспеченность отрасли охотничьего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хозяйства,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необходимую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 xml:space="preserve"> для принятия управленческих решений,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AE4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 xml:space="preserve"> на обеспечение устойчивого существования и устойчивого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использования охотничьих ресурсов и сохранения их биологического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разнообразия.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В данное время ввод ФГИС «Охота» ориентировочно запланирован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марту 2025 года.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Приказ Министерства природных ресурсов и экологии Российской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Федерации от 6 декабря 2024 г. № 714 "Об установлении порядка ведения,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структуры и форм государственного </w:t>
      </w:r>
      <w:proofErr w:type="spellStart"/>
      <w:r w:rsidRPr="007B3AE4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7B3AE4">
        <w:rPr>
          <w:rFonts w:ascii="Times New Roman" w:hAnsi="Times New Roman" w:cs="Times New Roman"/>
          <w:sz w:val="28"/>
          <w:szCs w:val="28"/>
        </w:rPr>
        <w:t xml:space="preserve"> реестра, а также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порядка сбора и хранения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содержащейся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 xml:space="preserve"> в нем документированной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информации, предоставления такой информации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заинтересованным</w:t>
      </w:r>
      <w:proofErr w:type="gram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лицам, форм обмена такой информацией".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Данный приказ вступает в силу с 1 сентября 2025 года. Данным приказом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определяются требования по ведению органами исполнительной власти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субъектов Российской Федерации, уполномоченными в области охоты и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сохранения охотничьих ресурсов государственного </w:t>
      </w:r>
      <w:proofErr w:type="spellStart"/>
      <w:r w:rsidRPr="007B3AE4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реестра посредством внесения сведений в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государственную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 xml:space="preserve"> информационную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систему.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lastRenderedPageBreak/>
        <w:t>В связи с вышесказанным, сбор информации в этом году будет сокращен,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ориентировочно к 15 августа инспекциям (комитетам) ГЭН необходимо будет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собрать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 xml:space="preserve"> входящую в </w:t>
      </w:r>
      <w:proofErr w:type="spellStart"/>
      <w:r w:rsidRPr="007B3AE4">
        <w:rPr>
          <w:rFonts w:ascii="Times New Roman" w:hAnsi="Times New Roman" w:cs="Times New Roman"/>
          <w:sz w:val="28"/>
          <w:szCs w:val="28"/>
        </w:rPr>
        <w:t>Госохотреестр</w:t>
      </w:r>
      <w:proofErr w:type="spellEnd"/>
      <w:r w:rsidRPr="007B3AE4">
        <w:rPr>
          <w:rFonts w:ascii="Times New Roman" w:hAnsi="Times New Roman" w:cs="Times New Roman"/>
          <w:sz w:val="28"/>
          <w:szCs w:val="28"/>
        </w:rPr>
        <w:t xml:space="preserve"> и заполнить формы по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новому приказу.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Приказ Федеральной налоговой службы от 15 ноября 2024 г. N ЕД-7-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3/1033@ "Об утверждении формы сведений о выданных разрешениях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бланках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 xml:space="preserve"> разрешений) на добычу объектов животного мира, суммах и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AE4">
        <w:rPr>
          <w:rFonts w:ascii="Times New Roman" w:hAnsi="Times New Roman" w:cs="Times New Roman"/>
          <w:sz w:val="28"/>
          <w:szCs w:val="28"/>
        </w:rPr>
        <w:t>сроках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 xml:space="preserve"> уплаты сбора за пользование объектами животного мира, порядка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ее заполнения и представления в налоговый орган, а также формата ее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представления в электронной форме".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с 1 января 2025 года вступили в силу следующие изменения в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Налоговый</w:t>
      </w:r>
      <w:proofErr w:type="gram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кодекс Российской Федерации в части уплаты сбора за пользование животным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миром и предоставления по нему отчетности: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- плательщиками сбора за пользование объектами животного мира,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признаются только физические лица, в том числе индивидуальные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предприниматели, получающие в установленном порядке разрешение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добычу объектов животного мира на территории Российской Федерации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(п. 1 ст. 333.1 НК РФ), юридические лица плательщиками указанного сбора не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являются;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 xml:space="preserve"> с чем возникают обязанности у </w:t>
      </w:r>
      <w:proofErr w:type="spellStart"/>
      <w:r w:rsidRPr="007B3AE4">
        <w:rPr>
          <w:rFonts w:ascii="Times New Roman" w:hAnsi="Times New Roman" w:cs="Times New Roman"/>
          <w:sz w:val="28"/>
          <w:szCs w:val="28"/>
        </w:rPr>
        <w:t>охотпользователей</w:t>
      </w:r>
      <w:proofErr w:type="spellEnd"/>
      <w:r w:rsidRPr="007B3AE4"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представлению в налоговые органы сведений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 xml:space="preserve"> выданных физическим лицам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AE4">
        <w:rPr>
          <w:rFonts w:ascii="Times New Roman" w:hAnsi="Times New Roman" w:cs="Times New Roman"/>
          <w:sz w:val="28"/>
          <w:szCs w:val="28"/>
        </w:rPr>
        <w:t>разрешениях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 xml:space="preserve"> на добычу объектов животного мира, суммах и сроках уплаты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сбора по каждому разрешению. Сведения (отчетность) предоставляются не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позднее 5-го числа каждого месяца в налоговые органы по месту своего учета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lastRenderedPageBreak/>
        <w:t xml:space="preserve">за предшествующий месяц (п. 1 ст. 333.6 НК РФ), при этом сведения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предшествующий месяц предоставляются только в случае, если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 xml:space="preserve"> указанном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AE4">
        <w:rPr>
          <w:rFonts w:ascii="Times New Roman" w:hAnsi="Times New Roman" w:cs="Times New Roman"/>
          <w:sz w:val="28"/>
          <w:szCs w:val="28"/>
        </w:rPr>
        <w:t>месяце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 xml:space="preserve"> выдавались разрешения на добычу охотничьих ресурсов, если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разрешения не выдавались, то сведения не предоставляются;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AE4">
        <w:rPr>
          <w:rFonts w:ascii="Times New Roman" w:hAnsi="Times New Roman" w:cs="Times New Roman"/>
          <w:sz w:val="28"/>
          <w:szCs w:val="28"/>
        </w:rPr>
        <w:t>- приказом Федеральной налоговой службы от 15 ноября 2024 года №ЕД7-3/1033@ утверждены новая форма сведений о выданных разрешениях</w:t>
      </w:r>
      <w:proofErr w:type="gram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бланках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 xml:space="preserve"> разрешений) на добычу объектов животного мира, суммах и сроках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уплаты сбора за пользование объектами животного мира, порядок её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заполнения и представления в налоговый орган, а также формат её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представления в электронной форме. Приказ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применяется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 xml:space="preserve"> начиная с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представления сведений за январь 2025 года;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- устанавливается налоговая ответственность за непредставление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установленный срок в налоговые органы сведений, предусмотренных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налоговым законодательством, в виде штрафа в размере 200 рублей за каждый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AE4">
        <w:rPr>
          <w:rFonts w:ascii="Times New Roman" w:hAnsi="Times New Roman" w:cs="Times New Roman"/>
          <w:sz w:val="28"/>
          <w:szCs w:val="28"/>
        </w:rPr>
        <w:t>непредставленный документ (разрешение на добычу объектов животного</w:t>
      </w:r>
      <w:proofErr w:type="gram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мира). Также установлена административная ответственность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непредставление (предоставление не в полном объеме) в установленный срок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сведений в виде административного штрафа на граждан в размере от 100 до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300 рублей; на должностных лиц - от 300 до 500 рублей.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Для получения консультаций и разъяснений по вопросам уплаты сбора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пользование животным миром и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 xml:space="preserve"> предоставления отчетности о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выданных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разрешениях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>, сумме сбора, подлежащей уплате по каждому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разрешению </w:t>
      </w:r>
      <w:proofErr w:type="spellStart"/>
      <w:r w:rsidRPr="007B3AE4">
        <w:rPr>
          <w:rFonts w:ascii="Times New Roman" w:hAnsi="Times New Roman" w:cs="Times New Roman"/>
          <w:sz w:val="28"/>
          <w:szCs w:val="28"/>
        </w:rPr>
        <w:t>охотпользователи</w:t>
      </w:r>
      <w:proofErr w:type="spellEnd"/>
      <w:r w:rsidRPr="007B3AE4">
        <w:rPr>
          <w:rFonts w:ascii="Times New Roman" w:hAnsi="Times New Roman" w:cs="Times New Roman"/>
          <w:sz w:val="28"/>
          <w:szCs w:val="28"/>
        </w:rPr>
        <w:t xml:space="preserve"> могут обратиться к специалистам Управления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Федеральной налоговой службы по Республике Саха (Якутия) по номеру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телефона 8(4112) 31-93-62 доб. 1811.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lastRenderedPageBreak/>
        <w:t>Закон Республики Саха (Якутия) от 16.12.2024 г. № 2803-З № 283-VII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«О внесении изменения в статью 11 Закона Республики Саха (Якутия)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«Об охоте и о сохранении охотничьих ресурсов».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В связи с вступившими в силу изменениями части 5 статьи 11 Закона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Республики Саха (Якутия) от 19 апреля 2013 года 1193-З № 1279-IV «Об охоте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и о сохранении охотничьих ресурсов» исключен ограничивающий срок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выдачи разрешений на добычу массовых видов охотничьих ресурсов. То есть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охотники, в течение текущего сезона охоты, в срок до 10 июня 2025 года,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имеют право получить разрешение на массовые виды охотничьих ресурсов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(пернатая дичь) на весенний период.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Таким образом, при поступлении заявлений на добычу пернатой дичи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необходимо осуществлять выдачу разрешений на весенний период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AE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 xml:space="preserve"> с установленной нормой добычи. В особенности это касается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центральных групп районов, где отмечается наибольшее количество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охотников. В связи с этим, в целях исключения возникающих массовых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очередей за получением разрешений на добычу перед сезоном весенней охоты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на водоплавающую дичь, рекомендуем комитетам и инспекциям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центральных</w:t>
      </w:r>
      <w:proofErr w:type="gram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групп районов активизировать информационно-просветительскую работу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среди населения по заблаговременному получению разрешений на добычу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водоплавающей дичи.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Закон Республики Саха (Якутия) от 16.12.2024 г. № 2788-З № 249-VII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«О внесении изменения в статью 13 Закона Республики Саха (Якутия)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«Об охоте и о сохранении охотничьих ресурсов».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В соответствии с п. 2 ст. 1 Федерального закона от 14 марта 1995 г. N 33-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lastRenderedPageBreak/>
        <w:t>ФЗ «Об особо охраняемых природных территориях», ст. 3 Федерального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закона от 24 июля 2009 г. N 209-ФЗ «Об охоте и о сохранении охотничьих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ресурсов и о внесении изменений в отдельные законодательные акты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Российской Федерации» отношения, возникающие при пользовании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природными ресурсами на особо охраняемых природных территориях,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правовое регулирование в области охоты и сохранения охотничьих ресурсов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регулируются соответствующим законодательством Российской Федерации и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законодательством субъектов Российской Федерации.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В настоящее время законодательством Республики Саха (Якутия) не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регулирован вопрос ведения охоты на особо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охраняемых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 xml:space="preserve"> природных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AE4">
        <w:rPr>
          <w:rFonts w:ascii="Times New Roman" w:hAnsi="Times New Roman" w:cs="Times New Roman"/>
          <w:sz w:val="28"/>
          <w:szCs w:val="28"/>
        </w:rPr>
        <w:t>территориях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 xml:space="preserve"> республиканского, местного значений (далее - ООПТ).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Так, не определены перечень допускаемых на ООПТ видов охоты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AE4">
        <w:rPr>
          <w:rFonts w:ascii="Times New Roman" w:hAnsi="Times New Roman" w:cs="Times New Roman"/>
          <w:sz w:val="28"/>
          <w:szCs w:val="28"/>
        </w:rPr>
        <w:t>согласно ч. 2 ст. 14, ч. 1 ст. 15, ч. 1 ст. 16, ч. 1 ст. 17, ч. 17 ст. 18, ст. 19</w:t>
      </w:r>
      <w:proofErr w:type="gram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Федерального закона от 24 июля 2009 г. N 209-ФЗ «Об охоте и о сохранении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охотничьих ресурсов и о внесении изменений в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отдельные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 xml:space="preserve"> законодательные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акты Российской Федерации».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Определение разрешенных на ООПТ видов охоты позволит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регламентировать ведение охоты при установлении режима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соответствующей ООПТ согласно ее положению.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Внесенными изменениями охота на ООПТ допускается в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установленные</w:t>
      </w:r>
      <w:proofErr w:type="gram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сроки охоты и в местах охоты, перечень и границы которых будут определены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природоохранным учреждением, в управлении которого находится особо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охраняемая природная территория.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В этой связи Законом предложено внести положения, регламентирующие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выдачу разрешений на добычу охотничьих ресурсов на ООПТ в соответствии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lastRenderedPageBreak/>
        <w:t>с порядком оформления и выдачи разрешений на добычу охотничьих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ресурсов, утвержденным органом государственной власти Российской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Федерации в области охоты и сохранения охотничьих ресурсов.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При этом выдача разрешений на добычу охотничьих ресурсов, в том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AE4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 xml:space="preserve"> на ООПТ, будет осуществляться в соответствии с Порядком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оформления и выдачи разрешений на добычу охотничьих ресурсов, порядка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подачи заявок и заявлений, необходимых для выдачи таких разрешений, и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AE4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 xml:space="preserve"> форм бланков разрешений на добычу копытных животных,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медведей, пушных животных, птиц, утвержденным Приказом Министерства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природных ресурсов и экологии РФ от 29 августа 2014 г. N 379.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В соответствии с ч.6 ст. 31 Федерального закона от 24 июля 2009 г. N 209-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ФЗ "Об охоте и о сохранении охотничьих ресурсов и о внесении изменений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Федерации" Порядок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распределения разрешений на добычу охотничьих ресурсов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физическими лицами, осуществляющими охоту в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общедоступных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 xml:space="preserve"> охотничьих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AE4">
        <w:rPr>
          <w:rFonts w:ascii="Times New Roman" w:hAnsi="Times New Roman" w:cs="Times New Roman"/>
          <w:sz w:val="28"/>
          <w:szCs w:val="28"/>
        </w:rPr>
        <w:t>угодьях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>, устанавливается законом субъекта Российской Федерации.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Законом установлены соответствующие требования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 xml:space="preserve"> распределение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разрешений на добычу охотничьих ресурсов на ООПТ.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Законом в целях повышения контроля, исключения браконьерства,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злоупотребления полученными квотами отдельными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физическим</w:t>
      </w:r>
      <w:proofErr w:type="gramEnd"/>
      <w:r w:rsidRPr="007B3AE4">
        <w:rPr>
          <w:rFonts w:ascii="Times New Roman" w:hAnsi="Times New Roman" w:cs="Times New Roman"/>
          <w:sz w:val="28"/>
          <w:szCs w:val="28"/>
        </w:rPr>
        <w:t xml:space="preserve"> лицами,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учитывая особый режим охраны и пользования природными ресурсами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ООПТ, предлагается организацию охоты на квотируемые виды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охотничьих</w:t>
      </w:r>
      <w:proofErr w:type="gram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ресурсов (медведи, волки, дикие копытные животные) на ООПТ возложить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природоохранные учреждения. Посредством оказания услуг в сфере охоты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AE4">
        <w:rPr>
          <w:rFonts w:ascii="Times New Roman" w:hAnsi="Times New Roman" w:cs="Times New Roman"/>
          <w:sz w:val="28"/>
          <w:szCs w:val="28"/>
        </w:rPr>
        <w:lastRenderedPageBreak/>
        <w:t>будет развиваться также охотничий туризм («туры выходного дня» по</w:t>
      </w:r>
      <w:proofErr w:type="gram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установленному графику в течение сезона охоты до момента закрытия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разрешения).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В границах ООПТ в соответствии с заключенными </w:t>
      </w:r>
      <w:proofErr w:type="spellStart"/>
      <w:r w:rsidRPr="007B3AE4">
        <w:rPr>
          <w:rFonts w:ascii="Times New Roman" w:hAnsi="Times New Roman" w:cs="Times New Roman"/>
          <w:sz w:val="28"/>
          <w:szCs w:val="28"/>
        </w:rPr>
        <w:t>охотхозяйственными</w:t>
      </w:r>
      <w:proofErr w:type="spell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соглашениями имеются охотничьи угодья, предоставленные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юридическим</w:t>
      </w:r>
      <w:proofErr w:type="gram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лицам, индивидуальным предпринимателям до вступления в законную силу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Федерального Закона Федеральный закон от 24 июля 2009 г. № 209-ФЗ «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охоте и о сохранении охотничьих ресурсов и о внесении изменений </w:t>
      </w:r>
      <w:proofErr w:type="gramStart"/>
      <w:r w:rsidRPr="007B3AE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Федерации».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Законом установлено, что возможно их размещение в границах особо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охраняемых природных территорий до окончания срока действия</w:t>
      </w:r>
    </w:p>
    <w:p w:rsidR="007B3AE4" w:rsidRPr="007B3AE4" w:rsidRDefault="007B3AE4" w:rsidP="007B3AE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3AE4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7B3AE4">
        <w:rPr>
          <w:rFonts w:ascii="Times New Roman" w:hAnsi="Times New Roman" w:cs="Times New Roman"/>
          <w:sz w:val="28"/>
          <w:szCs w:val="28"/>
        </w:rPr>
        <w:t xml:space="preserve"> соглашений, в пределах, не противоречащих режиму</w:t>
      </w:r>
    </w:p>
    <w:p w:rsidR="002B3475" w:rsidRDefault="007B3AE4" w:rsidP="007B3AE4">
      <w:pPr>
        <w:jc w:val="both"/>
      </w:pPr>
      <w:r w:rsidRPr="007B3AE4">
        <w:rPr>
          <w:rFonts w:ascii="Times New Roman" w:hAnsi="Times New Roman" w:cs="Times New Roman"/>
          <w:sz w:val="28"/>
          <w:szCs w:val="28"/>
        </w:rPr>
        <w:t>охраны особо охраняемых природных территорий.</w:t>
      </w:r>
      <w:r>
        <w:cr/>
      </w:r>
    </w:p>
    <w:sectPr w:rsidR="002B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87"/>
    <w:rsid w:val="002B3475"/>
    <w:rsid w:val="002E5487"/>
    <w:rsid w:val="007B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2283</Words>
  <Characters>13014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2025-03-28T05:16:00Z</dcterms:created>
  <dcterms:modified xsi:type="dcterms:W3CDTF">2025-03-28T05:17:00Z</dcterms:modified>
</cp:coreProperties>
</file>