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33" w:rsidRDefault="009140A9">
      <w:pPr>
        <w:pStyle w:val="a3"/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bidi="ar-SA"/>
        </w:rPr>
        <w:drawing>
          <wp:inline distT="0" distB="0" distL="0" distR="0">
            <wp:extent cx="2289810" cy="385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33" w:rsidRDefault="009140A9">
      <w:pPr>
        <w:pStyle w:val="a3"/>
        <w:spacing w:line="276" w:lineRule="auto"/>
        <w:jc w:val="center"/>
        <w:rPr>
          <w:b/>
          <w:bCs/>
        </w:rPr>
      </w:pPr>
      <w:r>
        <w:rPr>
          <w:b/>
          <w:bCs/>
        </w:rPr>
        <w:t>Образование земельного участка: этапы и особенности в 2025 году</w:t>
      </w:r>
    </w:p>
    <w:p w:rsidR="00161E33" w:rsidRDefault="00161E33">
      <w:pPr>
        <w:pStyle w:val="a3"/>
        <w:spacing w:line="276" w:lineRule="auto"/>
      </w:pPr>
    </w:p>
    <w:p w:rsidR="00161E33" w:rsidRDefault="009140A9">
      <w:pPr>
        <w:pStyle w:val="a3"/>
        <w:spacing w:line="276" w:lineRule="auto"/>
      </w:pPr>
      <w:r>
        <w:t xml:space="preserve">Образование земельного участка представляет собой юридический процесс, в ходе которого создаются новые объекты недвижимости путем деления, объединения, перераспределения существующих </w:t>
      </w:r>
      <w:r>
        <w:t>участков или выделения из государственных и муниципальных земель. Эта процедура регулируется российским законодательством, главным образом Земельным кодексом РФ и федеральным законом от 13 июля 2015 года № 218-ФЗ «О государственной регистрации недвижимости</w:t>
      </w:r>
      <w:r>
        <w:t>».</w:t>
      </w:r>
    </w:p>
    <w:p w:rsidR="00161E33" w:rsidRDefault="009140A9">
      <w:pPr>
        <w:pStyle w:val="a3"/>
        <w:spacing w:line="276" w:lineRule="auto"/>
      </w:pPr>
      <w:r>
        <w:t>Согласно статье 11.2 Земельного кодекса, существуют четыре основных способа образования земельных участков:</w:t>
      </w:r>
    </w:p>
    <w:p w:rsidR="00161E33" w:rsidRDefault="009140A9">
      <w:pPr>
        <w:pStyle w:val="a3"/>
        <w:numPr>
          <w:ilvl w:val="0"/>
          <w:numId w:val="3"/>
        </w:numPr>
        <w:spacing w:line="276" w:lineRule="auto"/>
      </w:pPr>
      <w:r>
        <w:t>Раздел — разделение существующего участка на несколько самостоятельных единиц.</w:t>
      </w:r>
    </w:p>
    <w:p w:rsidR="00161E33" w:rsidRDefault="009140A9">
      <w:pPr>
        <w:pStyle w:val="a3"/>
        <w:numPr>
          <w:ilvl w:val="0"/>
          <w:numId w:val="3"/>
        </w:numPr>
        <w:spacing w:line="276" w:lineRule="auto"/>
      </w:pPr>
      <w:r>
        <w:t>Объединение — слияние соседних участков в единый объект.</w:t>
      </w:r>
    </w:p>
    <w:p w:rsidR="00161E33" w:rsidRDefault="009140A9">
      <w:pPr>
        <w:pStyle w:val="a3"/>
        <w:numPr>
          <w:ilvl w:val="0"/>
          <w:numId w:val="3"/>
        </w:numPr>
        <w:spacing w:line="276" w:lineRule="auto"/>
      </w:pPr>
      <w:r>
        <w:t>Перераспр</w:t>
      </w:r>
      <w:r>
        <w:t>еделение — изменение конфигурации смежных участков.</w:t>
      </w:r>
    </w:p>
    <w:p w:rsidR="00161E33" w:rsidRDefault="009140A9">
      <w:pPr>
        <w:pStyle w:val="a3"/>
        <w:numPr>
          <w:ilvl w:val="0"/>
          <w:numId w:val="3"/>
        </w:numPr>
        <w:spacing w:line="276" w:lineRule="auto"/>
      </w:pPr>
      <w:r>
        <w:t>Выдел — отделение отдельного участка из общего владения несколькими собственниками.</w:t>
      </w:r>
    </w:p>
    <w:p w:rsidR="00161E33" w:rsidRDefault="009140A9">
      <w:pPr>
        <w:pStyle w:val="a3"/>
        <w:spacing w:line="276" w:lineRule="auto"/>
        <w:ind w:firstLine="0"/>
      </w:pPr>
      <w:r>
        <w:tab/>
        <w:t>Каждый метод имеет специфику и применяется в зависимости от поставленных задач.</w:t>
      </w:r>
    </w:p>
    <w:p w:rsidR="00161E33" w:rsidRDefault="009140A9">
      <w:pPr>
        <w:pStyle w:val="a3"/>
        <w:spacing w:line="276" w:lineRule="auto"/>
        <w:ind w:firstLine="0"/>
      </w:pPr>
      <w:r>
        <w:tab/>
      </w:r>
      <w:r>
        <w:rPr>
          <w:i/>
          <w:iCs/>
        </w:rPr>
        <w:t>«Оформление земельных участков — это с</w:t>
      </w:r>
      <w:r>
        <w:rPr>
          <w:i/>
          <w:iCs/>
        </w:rPr>
        <w:t xml:space="preserve">ерьёзный шаг, требующий внимательного отношения к каждой детали. Чем точнее определены границы и правильнее выбраны методы образования, тем легче и быстрее пройдёт процедура», </w:t>
      </w:r>
      <w:r>
        <w:t xml:space="preserve">- отмечает </w:t>
      </w:r>
      <w:r>
        <w:rPr>
          <w:b/>
          <w:bCs/>
        </w:rPr>
        <w:t>Олег Гонтаренко</w:t>
      </w:r>
      <w:r>
        <w:t xml:space="preserve">, заместитель руководителя </w:t>
      </w:r>
      <w:proofErr w:type="spellStart"/>
      <w:r>
        <w:t>Росреестра</w:t>
      </w:r>
      <w:proofErr w:type="spellEnd"/>
      <w:r>
        <w:t xml:space="preserve"> по Республике Са</w:t>
      </w:r>
      <w:r>
        <w:t>ха (Якутия).</w:t>
      </w:r>
    </w:p>
    <w:p w:rsidR="00161E33" w:rsidRDefault="009140A9">
      <w:pPr>
        <w:pStyle w:val="a3"/>
        <w:spacing w:line="276" w:lineRule="auto"/>
      </w:pPr>
      <w:r>
        <w:t>Порядок действий при образовании земельного участка</w:t>
      </w:r>
    </w:p>
    <w:p w:rsidR="00161E33" w:rsidRDefault="009140A9">
      <w:pPr>
        <w:pStyle w:val="a3"/>
        <w:spacing w:line="276" w:lineRule="auto"/>
      </w:pPr>
      <w:r>
        <w:t>1. Первый шаг — чёткое понимание цели, будь то продажа части участка, оформление совместного владения или получение участка из государственных резервов.</w:t>
      </w:r>
    </w:p>
    <w:p w:rsidR="00161E33" w:rsidRDefault="009140A9">
      <w:pPr>
        <w:pStyle w:val="a3"/>
        <w:spacing w:line="276" w:lineRule="auto"/>
      </w:pPr>
      <w:r>
        <w:t>2. Выбор метода образования основывает</w:t>
      </w:r>
      <w:r>
        <w:t>ся на конкретной ситуации и потребностях собственника. Например, раздел подходит, если собственник хочет продать отдельную часть своего участка, а объединение целесообразно, если владелец приобретает прилегающий участок.</w:t>
      </w:r>
    </w:p>
    <w:p w:rsidR="00161E33" w:rsidRDefault="009140A9">
      <w:pPr>
        <w:pStyle w:val="a3"/>
        <w:spacing w:line="276" w:lineRule="auto"/>
      </w:pPr>
      <w:r>
        <w:t>3. Подготовка необходимых документо</w:t>
      </w:r>
      <w:r>
        <w:t>в начинается с обращения к кадастровому инженеру, который проводит топографическую съёмку и создаёт межевой план. Затем готовится документация для утверждения схемы расположения участка на кадастровом плане территории.</w:t>
      </w:r>
    </w:p>
    <w:p w:rsidR="00161E33" w:rsidRDefault="009140A9">
      <w:pPr>
        <w:pStyle w:val="a3"/>
        <w:spacing w:line="276" w:lineRule="auto"/>
      </w:pPr>
      <w:r>
        <w:t>4. Документы направляются в местные о</w:t>
      </w:r>
      <w:r>
        <w:t xml:space="preserve">рганы власти для рассмотрения и </w:t>
      </w:r>
      <w:r>
        <w:lastRenderedPageBreak/>
        <w:t xml:space="preserve">принятия решения. Если никаких препятствий нет, производится постановка участка на учёт в </w:t>
      </w:r>
      <w:proofErr w:type="spellStart"/>
      <w:r>
        <w:t>Росреестре</w:t>
      </w:r>
      <w:proofErr w:type="spellEnd"/>
      <w:r>
        <w:t>.</w:t>
      </w:r>
    </w:p>
    <w:p w:rsidR="00161E33" w:rsidRDefault="009140A9">
      <w:pPr>
        <w:pStyle w:val="a3"/>
        <w:spacing w:line="276" w:lineRule="auto"/>
      </w:pPr>
      <w:r>
        <w:t xml:space="preserve">5. Завершающим этапом является государственная регистрация права собственности на новообразованный участок в органах </w:t>
      </w:r>
      <w:proofErr w:type="spellStart"/>
      <w:r>
        <w:t>Росре</w:t>
      </w:r>
      <w:r>
        <w:t>естра</w:t>
      </w:r>
      <w:proofErr w:type="spellEnd"/>
      <w:r>
        <w:t>.</w:t>
      </w:r>
    </w:p>
    <w:p w:rsidR="00161E33" w:rsidRDefault="009140A9">
      <w:pPr>
        <w:pStyle w:val="a3"/>
        <w:spacing w:line="276" w:lineRule="auto"/>
      </w:pPr>
      <w:r>
        <w:rPr>
          <w:b/>
          <w:bCs/>
        </w:rPr>
        <w:t>Яков Алексеев</w:t>
      </w:r>
      <w:r>
        <w:t>, заместитель директора филиала ППК «</w:t>
      </w:r>
      <w:proofErr w:type="spellStart"/>
      <w:r>
        <w:t>Роскадастр</w:t>
      </w:r>
      <w:proofErr w:type="spellEnd"/>
      <w:r>
        <w:t>» по Республике Саха (Якутия):</w:t>
      </w:r>
    </w:p>
    <w:p w:rsidR="00161E33" w:rsidRDefault="009140A9">
      <w:pPr>
        <w:pStyle w:val="a3"/>
        <w:spacing w:line="276" w:lineRule="auto"/>
        <w:rPr>
          <w:i/>
          <w:iCs/>
        </w:rPr>
      </w:pPr>
      <w:r>
        <w:rPr>
          <w:i/>
          <w:iCs/>
        </w:rPr>
        <w:t>«Современные технологии позволяют быстро и качественно готовить межевые планы. Однако роль человеческого фактора велика: ошибка инженера или неправильная оцен</w:t>
      </w:r>
      <w:r>
        <w:rPr>
          <w:i/>
          <w:iCs/>
        </w:rPr>
        <w:t>ка ситуации могут существенно затянуть процесс.»</w:t>
      </w:r>
    </w:p>
    <w:p w:rsidR="00161E33" w:rsidRDefault="009140A9">
      <w:pPr>
        <w:pStyle w:val="a3"/>
        <w:spacing w:line="276" w:lineRule="auto"/>
      </w:pPr>
      <w:r>
        <w:t>Итак, образование земельного участка — это достаточно сложная процедура, включающая юридические нюансы и обязательное участие профессионалов. Важно помнить:</w:t>
      </w:r>
    </w:p>
    <w:p w:rsidR="00161E33" w:rsidRDefault="009140A9">
      <w:pPr>
        <w:pStyle w:val="a3"/>
        <w:numPr>
          <w:ilvl w:val="0"/>
          <w:numId w:val="4"/>
        </w:numPr>
        <w:spacing w:line="276" w:lineRule="auto"/>
      </w:pPr>
      <w:r>
        <w:t>Прежде чем начать деление или объединение участка,</w:t>
      </w:r>
      <w:r>
        <w:t xml:space="preserve"> проконсультируйтесь с юристом.</w:t>
      </w:r>
    </w:p>
    <w:p w:rsidR="00161E33" w:rsidRDefault="009140A9">
      <w:pPr>
        <w:pStyle w:val="a3"/>
        <w:numPr>
          <w:ilvl w:val="0"/>
          <w:numId w:val="4"/>
        </w:numPr>
        <w:spacing w:line="276" w:lineRule="auto"/>
      </w:pPr>
      <w:r>
        <w:t>Привлекайте опытного кадастрового инженера для подготовки межевого плана.</w:t>
      </w:r>
    </w:p>
    <w:p w:rsidR="00161E33" w:rsidRDefault="009140A9">
      <w:pPr>
        <w:pStyle w:val="a3"/>
        <w:numPr>
          <w:ilvl w:val="0"/>
          <w:numId w:val="4"/>
        </w:numPr>
        <w:spacing w:line="276" w:lineRule="auto"/>
      </w:pPr>
      <w:r>
        <w:t>Не забывайте соблюдать минимальные нормы размеров и категории земель.</w:t>
      </w:r>
    </w:p>
    <w:p w:rsidR="00161E33" w:rsidRDefault="009140A9">
      <w:pPr>
        <w:pStyle w:val="a3"/>
        <w:spacing w:line="276" w:lineRule="auto"/>
      </w:pPr>
      <w:r>
        <w:t>Процедура образования земельного участка требует тщательной подготовки и соблюде</w:t>
      </w:r>
      <w:r>
        <w:t>ния нормативных требований. Следуя установленным правилам и консультируясь с профессионалами, владельцы смогут успешно оформить новую собственность и защитить свои права.</w:t>
      </w:r>
    </w:p>
    <w:p w:rsidR="00161E33" w:rsidRDefault="00161E33">
      <w:pPr>
        <w:pStyle w:val="a3"/>
        <w:spacing w:line="276" w:lineRule="auto"/>
      </w:pPr>
    </w:p>
    <w:p w:rsidR="00161E33" w:rsidRDefault="009140A9">
      <w:pPr>
        <w:pStyle w:val="a3"/>
      </w:pPr>
      <w:r>
        <w:rPr>
          <w:rFonts w:ascii="Times New Roman" w:hAnsi="Times New Roman" w:cs="Times New Roman"/>
          <w:i/>
          <w:color w:val="000000"/>
          <w:sz w:val="24"/>
        </w:rPr>
        <w:t>Материал подготовлен филиалом ППК «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Роскадастр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>» по Республике Саха (Якутия)</w:t>
      </w:r>
    </w:p>
    <w:sectPr w:rsidR="00161E33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A9" w:rsidRDefault="009140A9">
      <w:r>
        <w:separator/>
      </w:r>
    </w:p>
  </w:endnote>
  <w:endnote w:type="continuationSeparator" w:id="0">
    <w:p w:rsidR="009140A9" w:rsidRDefault="009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33" w:rsidRDefault="00161E33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A9" w:rsidRDefault="009140A9">
      <w:r>
        <w:separator/>
      </w:r>
    </w:p>
  </w:footnote>
  <w:footnote w:type="continuationSeparator" w:id="0">
    <w:p w:rsidR="009140A9" w:rsidRDefault="0091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33" w:rsidRDefault="009140A9">
    <w:pPr>
      <w:pStyle w:val="afff5"/>
    </w:pPr>
    <w:r>
      <w:fldChar w:fldCharType="begin"/>
    </w:r>
    <w:r>
      <w:instrText xml:space="preserve"> PAGE </w:instrText>
    </w:r>
    <w:r>
      <w:fldChar w:fldCharType="separate"/>
    </w:r>
    <w:r w:rsidR="00B11C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81BD2"/>
    <w:multiLevelType w:val="multilevel"/>
    <w:tmpl w:val="172A0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765345"/>
    <w:multiLevelType w:val="multilevel"/>
    <w:tmpl w:val="A952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7F22F2A"/>
    <w:multiLevelType w:val="multilevel"/>
    <w:tmpl w:val="4CACF8F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6988461D"/>
    <w:multiLevelType w:val="multilevel"/>
    <w:tmpl w:val="061CD8C8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nsid w:val="766D1710"/>
    <w:multiLevelType w:val="multilevel"/>
    <w:tmpl w:val="ECA8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3"/>
    <w:rsid w:val="00161E33"/>
    <w:rsid w:val="009140A9"/>
    <w:rsid w:val="00B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4DA69-5CE6-470D-A53C-E28BBE8B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224550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2"/>
    <w:qFormat/>
  </w:style>
  <w:style w:type="paragraph" w:customStyle="1" w:styleId="afffe">
    <w:name w:val="Таблица"/>
    <w:basedOn w:val="aff2"/>
    <w:qFormat/>
  </w:style>
  <w:style w:type="paragraph" w:styleId="affff">
    <w:name w:val="Plain Text"/>
    <w:basedOn w:val="aff2"/>
    <w:qFormat/>
  </w:style>
  <w:style w:type="paragraph" w:customStyle="1" w:styleId="affff0">
    <w:name w:val="Содержимое врезки"/>
    <w:basedOn w:val="a1"/>
    <w:qFormat/>
  </w:style>
  <w:style w:type="paragraph" w:styleId="affff1">
    <w:name w:val="footnote text"/>
    <w:basedOn w:val="a1"/>
    <w:pPr>
      <w:jc w:val="left"/>
    </w:pPr>
  </w:style>
  <w:style w:type="paragraph" w:styleId="affff2">
    <w:name w:val="envelope address"/>
    <w:basedOn w:val="a1"/>
  </w:style>
  <w:style w:type="paragraph" w:styleId="2b">
    <w:name w:val="envelope return"/>
    <w:basedOn w:val="a1"/>
  </w:style>
  <w:style w:type="paragraph" w:styleId="affff3">
    <w:name w:val="endnote text"/>
    <w:basedOn w:val="a1"/>
  </w:style>
  <w:style w:type="paragraph" w:customStyle="1" w:styleId="affff4">
    <w:name w:val="Рисунок"/>
    <w:basedOn w:val="aff2"/>
    <w:qFormat/>
  </w:style>
  <w:style w:type="paragraph" w:customStyle="1" w:styleId="affff5">
    <w:name w:val="Текст в заданном формате"/>
    <w:basedOn w:val="a1"/>
    <w:qFormat/>
  </w:style>
  <w:style w:type="paragraph" w:customStyle="1" w:styleId="affff6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1"/>
    <w:qFormat/>
  </w:style>
  <w:style w:type="paragraph" w:customStyle="1" w:styleId="affff8">
    <w:name w:val="Заголовок списка"/>
    <w:basedOn w:val="a1"/>
    <w:next w:val="affff7"/>
    <w:qFormat/>
  </w:style>
  <w:style w:type="paragraph" w:customStyle="1" w:styleId="affff9">
    <w:name w:val="Гриф_Экземпляр"/>
    <w:basedOn w:val="a1"/>
    <w:qFormat/>
    <w:rPr>
      <w:sz w:val="24"/>
    </w:rPr>
  </w:style>
  <w:style w:type="paragraph" w:customStyle="1" w:styleId="affffa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1</dc:creator>
  <dc:description/>
  <cp:lastModifiedBy>1</cp:lastModifiedBy>
  <cp:revision>2</cp:revision>
  <dcterms:created xsi:type="dcterms:W3CDTF">2025-12-22T03:13:00Z</dcterms:created>
  <dcterms:modified xsi:type="dcterms:W3CDTF">2025-12-22T03:13:00Z</dcterms:modified>
  <dc:language>ru-RU</dc:language>
</cp:coreProperties>
</file>